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word/diagrams/data1.xml" ContentType="application/vnd.openxmlformats-officedocument.drawingml.diagramData+xml"/>
  <Override PartName="/word/diagrams/colors1.xml" ContentType="application/vnd.openxmlformats-officedocument.drawingml.diagramColor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AD1813" w:rsidRPr="008C3D7F" w:rsidTr="008C3D7F">
        <w:trPr>
          <w:trHeight w:val="149"/>
        </w:trPr>
        <w:tc>
          <w:tcPr>
            <w:tcW w:w="3227" w:type="dxa"/>
          </w:tcPr>
          <w:p w:rsidR="00AD1813" w:rsidRPr="008C3D7F" w:rsidRDefault="00AD1813" w:rsidP="00682A5B">
            <w:pPr>
              <w:rPr>
                <w:b/>
              </w:rPr>
            </w:pPr>
            <w:r w:rsidRPr="003F1CDC">
              <w:rPr>
                <w:b/>
                <w:sz w:val="24"/>
              </w:rPr>
              <w:t>Chapitre</w:t>
            </w:r>
          </w:p>
        </w:tc>
        <w:tc>
          <w:tcPr>
            <w:tcW w:w="6551" w:type="dxa"/>
          </w:tcPr>
          <w:p w:rsidR="00AD1813" w:rsidRPr="003F1CDC" w:rsidRDefault="00AD1813" w:rsidP="00682A5B">
            <w:pPr>
              <w:rPr>
                <w:b/>
              </w:rPr>
            </w:pPr>
            <w:r w:rsidRPr="003F1CDC">
              <w:rPr>
                <w:b/>
              </w:rPr>
              <w:t>2. Outils et méthodes d’analyse et de description des systèmes</w:t>
            </w:r>
          </w:p>
        </w:tc>
      </w:tr>
      <w:tr w:rsidR="00AD1813" w:rsidRPr="008C3D7F" w:rsidTr="008C3D7F">
        <w:trPr>
          <w:trHeight w:val="142"/>
        </w:trPr>
        <w:tc>
          <w:tcPr>
            <w:tcW w:w="3227" w:type="dxa"/>
          </w:tcPr>
          <w:p w:rsidR="00AD1813" w:rsidRPr="008C3D7F" w:rsidRDefault="00AD1813" w:rsidP="00682A5B">
            <w:pPr>
              <w:rPr>
                <w:b/>
              </w:rPr>
            </w:pPr>
            <w:r w:rsidRPr="008C3D7F">
              <w:rPr>
                <w:b/>
              </w:rPr>
              <w:t>Objectif général de formation</w:t>
            </w:r>
          </w:p>
        </w:tc>
        <w:tc>
          <w:tcPr>
            <w:tcW w:w="6551" w:type="dxa"/>
          </w:tcPr>
          <w:p w:rsidR="00AD1813" w:rsidRDefault="00AD1813" w:rsidP="00682A5B">
            <w:pPr>
              <w:pStyle w:val="Paragraphedeliste"/>
              <w:numPr>
                <w:ilvl w:val="0"/>
                <w:numId w:val="1"/>
              </w:numPr>
            </w:pPr>
            <w:r>
              <w:t xml:space="preserve">identifier les éléments influents d’un système, </w:t>
            </w:r>
          </w:p>
          <w:p w:rsidR="00AD1813" w:rsidRDefault="00AD1813" w:rsidP="00682A5B">
            <w:pPr>
              <w:pStyle w:val="Paragraphedeliste"/>
              <w:numPr>
                <w:ilvl w:val="0"/>
                <w:numId w:val="1"/>
              </w:numPr>
            </w:pPr>
            <w:r>
              <w:t>décoder son organisation,</w:t>
            </w:r>
          </w:p>
          <w:p w:rsidR="00AD1813" w:rsidRPr="008C3D7F" w:rsidRDefault="00AD1813" w:rsidP="00682A5B">
            <w:pPr>
              <w:pStyle w:val="Paragraphedeliste"/>
              <w:numPr>
                <w:ilvl w:val="0"/>
                <w:numId w:val="1"/>
              </w:numPr>
            </w:pPr>
            <w:r>
              <w:t>utiliser un modèle de comportement pour prédire ou valider ses performances.</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AD1813" w:rsidP="00071E41">
            <w:r w:rsidRPr="00A330BA">
              <w:t>2.3 Approche comportementale</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AD1813" w:rsidP="00071E41">
            <w:r w:rsidRPr="00AD1813">
              <w:t>2.3.2 Comportement des matériaux</w:t>
            </w:r>
          </w:p>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935C41" w:rsidRDefault="00935C41" w:rsidP="00AD1813">
            <w:pPr>
              <w:pStyle w:val="Default"/>
              <w:jc w:val="both"/>
              <w:rPr>
                <w:sz w:val="19"/>
                <w:szCs w:val="19"/>
              </w:rPr>
            </w:pPr>
            <w:r w:rsidRPr="00935C41">
              <w:rPr>
                <w:sz w:val="19"/>
                <w:szCs w:val="19"/>
              </w:rPr>
              <w:t>Comportements caractéristiques des matériaux selon les points de vue</w:t>
            </w:r>
          </w:p>
          <w:p w:rsidR="003D034D" w:rsidRPr="00AD1813" w:rsidRDefault="00266941" w:rsidP="00AD1813">
            <w:pPr>
              <w:pStyle w:val="Default"/>
              <w:jc w:val="both"/>
              <w:rPr>
                <w:sz w:val="19"/>
                <w:szCs w:val="19"/>
              </w:rPr>
            </w:pPr>
            <w:r w:rsidRPr="00266941">
              <w:rPr>
                <w:sz w:val="19"/>
                <w:szCs w:val="19"/>
              </w:rPr>
              <w:t>Thermiques (échauffement par conduction, convection et rayonnement, fusion, écoulement)</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AD1813" w:rsidRPr="00AD1813" w:rsidRDefault="00AD1813" w:rsidP="00AD1813">
            <w:pPr>
              <w:rPr>
                <w:i/>
              </w:rPr>
            </w:pPr>
            <w:r w:rsidRPr="00AD1813">
              <w:rPr>
                <w:i/>
              </w:rPr>
              <w:t>Privilégier une approche qualitative par comparaison à partir d’expérimentations permettant de retenir des ordres de grandeur. Toutes les familles de matériaux sont expérimentées en lien avec les domaines d’emplois caractéristiques.</w:t>
            </w:r>
          </w:p>
          <w:p w:rsidR="00AD1813" w:rsidRPr="00AD1813" w:rsidRDefault="00AD1813" w:rsidP="00AD1813">
            <w:pPr>
              <w:rPr>
                <w:i/>
              </w:rPr>
            </w:pPr>
            <w:r w:rsidRPr="00AD1813">
              <w:rPr>
                <w:i/>
              </w:rPr>
              <w:t>Les matériaux composites sont ceux de tous les systèmes.</w:t>
            </w:r>
          </w:p>
          <w:p w:rsidR="008C3D7F" w:rsidRPr="005F6D16" w:rsidRDefault="00AD1813" w:rsidP="00AD1813">
            <w:pPr>
              <w:rPr>
                <w:i/>
              </w:rPr>
            </w:pPr>
            <w:r w:rsidRPr="00AD1813">
              <w:rPr>
                <w:i/>
              </w:rPr>
              <w:t>La progression pédagogique est à coordonner avec celle de physique sur les points complémentaires des programmes.</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604645" w:rsidRDefault="00604645" w:rsidP="00604645">
      <w:pPr>
        <w:pStyle w:val="Titre1"/>
      </w:pPr>
      <w:r>
        <w:t>Les transferts de chaleur :</w:t>
      </w:r>
    </w:p>
    <w:p w:rsidR="00604645" w:rsidRDefault="00604645" w:rsidP="00604645">
      <w:pPr>
        <w:pStyle w:val="Titre2"/>
      </w:pPr>
      <w:r>
        <w:t>Définition des 3 modes de transfert de chaleur.</w:t>
      </w:r>
    </w:p>
    <w:p w:rsidR="00604645" w:rsidRDefault="00604645" w:rsidP="00604645">
      <w:r w:rsidRPr="00D72D16">
        <w:rPr>
          <w:b/>
        </w:rPr>
        <w:t>Conduction :</w:t>
      </w:r>
      <w:r>
        <w:t xml:space="preserve"> propriété des matériaux à diffuser la chaleur en leur sein ou à des corps en contact.</w:t>
      </w:r>
    </w:p>
    <w:p w:rsidR="00604645" w:rsidRDefault="00604645" w:rsidP="00604645">
      <w:r w:rsidRPr="00D72D16">
        <w:rPr>
          <w:b/>
        </w:rPr>
        <w:t>Convection :</w:t>
      </w:r>
      <w:r>
        <w:t xml:space="preserve"> propriété des fluides, qui par leur mouvement, transportent de la chaleur</w:t>
      </w:r>
    </w:p>
    <w:p w:rsidR="00604645" w:rsidRDefault="00604645" w:rsidP="00604645">
      <w:pPr>
        <w:ind w:firstLine="708"/>
      </w:pPr>
      <w:r>
        <w:t>- convection naturelle ou libre : le mouvement du fluide est dû à la variation de propriété du fluide sous l’effet de la température (déplacement dû à l’abaissement de masse volumique, de viscosité, de pression…)</w:t>
      </w:r>
    </w:p>
    <w:p w:rsidR="00604645" w:rsidRDefault="00604645" w:rsidP="00604645">
      <w:pPr>
        <w:ind w:firstLine="708"/>
      </w:pPr>
      <w:r>
        <w:t>- convection forcée : le mouvement de fluide se fait sous l’effet d’un système mécanique (pompe, ventilateur etc…). Le fluide est dirigé.</w:t>
      </w:r>
    </w:p>
    <w:p w:rsidR="00604645" w:rsidRDefault="00604645" w:rsidP="00604645">
      <w:r w:rsidRPr="00D72D16">
        <w:rPr>
          <w:b/>
        </w:rPr>
        <w:t xml:space="preserve">Rayonnement : </w:t>
      </w:r>
      <w:r>
        <w:t xml:space="preserve">propriétés des corps à émettre ou recevoir de l’énergie sous forme de rayonnement (dans les infrarouges pour les formes courantes de rayonnement), sans « contact ou matière ». </w:t>
      </w:r>
    </w:p>
    <w:p w:rsidR="00604645" w:rsidRDefault="00604645" w:rsidP="00604645"/>
    <w:tbl>
      <w:tblPr>
        <w:tblStyle w:val="Grilledutableau"/>
        <w:tblW w:w="0" w:type="auto"/>
        <w:tblLook w:val="04A0"/>
      </w:tblPr>
      <w:tblGrid>
        <w:gridCol w:w="3070"/>
        <w:gridCol w:w="3071"/>
        <w:gridCol w:w="3071"/>
      </w:tblGrid>
      <w:tr w:rsidR="00604645" w:rsidTr="000722F0">
        <w:tc>
          <w:tcPr>
            <w:tcW w:w="3070" w:type="dxa"/>
          </w:tcPr>
          <w:p w:rsidR="00604645" w:rsidRDefault="00604645" w:rsidP="000722F0">
            <w:r>
              <w:t>Nature du transfert</w:t>
            </w:r>
          </w:p>
        </w:tc>
        <w:tc>
          <w:tcPr>
            <w:tcW w:w="3071" w:type="dxa"/>
          </w:tcPr>
          <w:p w:rsidR="00604645" w:rsidRDefault="00604645" w:rsidP="000722F0">
            <w:r>
              <w:t>Support matériel</w:t>
            </w:r>
          </w:p>
        </w:tc>
        <w:tc>
          <w:tcPr>
            <w:tcW w:w="3071" w:type="dxa"/>
          </w:tcPr>
          <w:p w:rsidR="00604645" w:rsidRDefault="00604645" w:rsidP="000722F0">
            <w:r>
              <w:t>Mouvement de matière</w:t>
            </w:r>
          </w:p>
        </w:tc>
      </w:tr>
      <w:tr w:rsidR="00604645" w:rsidTr="000722F0">
        <w:tc>
          <w:tcPr>
            <w:tcW w:w="3070" w:type="dxa"/>
          </w:tcPr>
          <w:p w:rsidR="00604645" w:rsidRDefault="00604645" w:rsidP="000722F0">
            <w:r>
              <w:t>Conduction</w:t>
            </w:r>
          </w:p>
        </w:tc>
        <w:tc>
          <w:tcPr>
            <w:tcW w:w="3071" w:type="dxa"/>
          </w:tcPr>
          <w:p w:rsidR="00604645" w:rsidRDefault="00604645" w:rsidP="000722F0">
            <w:r>
              <w:t>oui</w:t>
            </w:r>
          </w:p>
        </w:tc>
        <w:tc>
          <w:tcPr>
            <w:tcW w:w="3071" w:type="dxa"/>
          </w:tcPr>
          <w:p w:rsidR="00604645" w:rsidRDefault="00604645" w:rsidP="000722F0">
            <w:r>
              <w:t>non</w:t>
            </w:r>
          </w:p>
        </w:tc>
      </w:tr>
      <w:tr w:rsidR="00604645" w:rsidTr="000722F0">
        <w:tc>
          <w:tcPr>
            <w:tcW w:w="3070" w:type="dxa"/>
          </w:tcPr>
          <w:p w:rsidR="00604645" w:rsidRDefault="00604645" w:rsidP="000722F0">
            <w:r>
              <w:t>Convection</w:t>
            </w:r>
          </w:p>
        </w:tc>
        <w:tc>
          <w:tcPr>
            <w:tcW w:w="3071" w:type="dxa"/>
          </w:tcPr>
          <w:p w:rsidR="00604645" w:rsidRDefault="00604645" w:rsidP="000722F0">
            <w:r>
              <w:t>oui</w:t>
            </w:r>
          </w:p>
        </w:tc>
        <w:tc>
          <w:tcPr>
            <w:tcW w:w="3071" w:type="dxa"/>
          </w:tcPr>
          <w:p w:rsidR="00604645" w:rsidRDefault="00604645" w:rsidP="000722F0">
            <w:r>
              <w:t>oui</w:t>
            </w:r>
          </w:p>
        </w:tc>
      </w:tr>
      <w:tr w:rsidR="00604645" w:rsidTr="000722F0">
        <w:tc>
          <w:tcPr>
            <w:tcW w:w="3070" w:type="dxa"/>
          </w:tcPr>
          <w:p w:rsidR="00604645" w:rsidRDefault="00604645" w:rsidP="000722F0">
            <w:r>
              <w:t>Rayonnement</w:t>
            </w:r>
          </w:p>
        </w:tc>
        <w:tc>
          <w:tcPr>
            <w:tcW w:w="3071" w:type="dxa"/>
          </w:tcPr>
          <w:p w:rsidR="00604645" w:rsidRDefault="00604645" w:rsidP="000722F0">
            <w:r>
              <w:t>non</w:t>
            </w:r>
          </w:p>
        </w:tc>
        <w:tc>
          <w:tcPr>
            <w:tcW w:w="3071" w:type="dxa"/>
          </w:tcPr>
          <w:p w:rsidR="00604645" w:rsidRDefault="00604645" w:rsidP="000722F0">
            <w:r>
              <w:t>non</w:t>
            </w:r>
          </w:p>
        </w:tc>
      </w:tr>
    </w:tbl>
    <w:p w:rsidR="00604645" w:rsidRDefault="00604645" w:rsidP="00604645">
      <w:r>
        <w:t>Étude de cas : capteur solaire plan :</w:t>
      </w:r>
    </w:p>
    <w:p w:rsidR="00604645" w:rsidRDefault="00604645" w:rsidP="00604645">
      <w:r w:rsidRPr="000A1220">
        <w:rPr>
          <w:noProof/>
          <w:lang w:eastAsia="fr-FR"/>
        </w:rPr>
        <w:drawing>
          <wp:inline distT="0" distB="0" distL="0" distR="0">
            <wp:extent cx="2438400" cy="1891665"/>
            <wp:effectExtent l="19050" t="0" r="0" b="0"/>
            <wp:docPr id="5"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38813"/>
                      <a:chOff x="0" y="333375"/>
                      <a:chExt cx="9144000" cy="5738813"/>
                    </a:xfrm>
                  </a:grpSpPr>
                  <a:sp>
                    <a:nvSpPr>
                      <a:cNvPr id="37889" name="Titre 1"/>
                      <a:cNvSpPr>
                        <a:spLocks noGrp="1"/>
                      </a:cNvSpPr>
                    </a:nvSpPr>
                    <a:spPr bwMode="auto">
                      <a:xfrm>
                        <a:off x="323850" y="333375"/>
                        <a:ext cx="8229600" cy="511175"/>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3600" kern="1200">
                              <a:solidFill>
                                <a:srgbClr val="AB1575"/>
                              </a:solidFill>
                              <a:latin typeface="+mj-lt"/>
                              <a:ea typeface="+mj-ea"/>
                              <a:cs typeface="+mj-cs"/>
                            </a:defRPr>
                          </a:lvl1pPr>
                          <a:lvl2pPr algn="ctr" rtl="0" eaLnBrk="0" fontAlgn="base" hangingPunct="0">
                            <a:spcBef>
                              <a:spcPct val="0"/>
                            </a:spcBef>
                            <a:spcAft>
                              <a:spcPct val="0"/>
                            </a:spcAft>
                            <a:defRPr sz="3600">
                              <a:solidFill>
                                <a:srgbClr val="AB1575"/>
                              </a:solidFill>
                              <a:latin typeface="Calibri" pitchFamily="34" charset="0"/>
                            </a:defRPr>
                          </a:lvl2pPr>
                          <a:lvl3pPr algn="ctr" rtl="0" eaLnBrk="0" fontAlgn="base" hangingPunct="0">
                            <a:spcBef>
                              <a:spcPct val="0"/>
                            </a:spcBef>
                            <a:spcAft>
                              <a:spcPct val="0"/>
                            </a:spcAft>
                            <a:defRPr sz="3600">
                              <a:solidFill>
                                <a:srgbClr val="AB1575"/>
                              </a:solidFill>
                              <a:latin typeface="Calibri" pitchFamily="34" charset="0"/>
                            </a:defRPr>
                          </a:lvl3pPr>
                          <a:lvl4pPr algn="ctr" rtl="0" eaLnBrk="0" fontAlgn="base" hangingPunct="0">
                            <a:spcBef>
                              <a:spcPct val="0"/>
                            </a:spcBef>
                            <a:spcAft>
                              <a:spcPct val="0"/>
                            </a:spcAft>
                            <a:defRPr sz="3600">
                              <a:solidFill>
                                <a:srgbClr val="AB1575"/>
                              </a:solidFill>
                              <a:latin typeface="Calibri" pitchFamily="34" charset="0"/>
                            </a:defRPr>
                          </a:lvl4pPr>
                          <a:lvl5pPr algn="ctr" rtl="0" eaLnBrk="0" fontAlgn="base" hangingPunct="0">
                            <a:spcBef>
                              <a:spcPct val="0"/>
                            </a:spcBef>
                            <a:spcAft>
                              <a:spcPct val="0"/>
                            </a:spcAft>
                            <a:defRPr sz="3600">
                              <a:solidFill>
                                <a:srgbClr val="AB1575"/>
                              </a:solidFill>
                              <a:latin typeface="Calibri" pitchFamily="34" charset="0"/>
                            </a:defRPr>
                          </a:lvl5pPr>
                          <a:lvl6pPr marL="457200" algn="ctr" rtl="0" fontAlgn="base">
                            <a:spcBef>
                              <a:spcPct val="0"/>
                            </a:spcBef>
                            <a:spcAft>
                              <a:spcPct val="0"/>
                            </a:spcAft>
                            <a:defRPr sz="3600">
                              <a:solidFill>
                                <a:srgbClr val="AB1575"/>
                              </a:solidFill>
                              <a:latin typeface="Calibri" pitchFamily="34" charset="0"/>
                            </a:defRPr>
                          </a:lvl6pPr>
                          <a:lvl7pPr marL="914400" algn="ctr" rtl="0" fontAlgn="base">
                            <a:spcBef>
                              <a:spcPct val="0"/>
                            </a:spcBef>
                            <a:spcAft>
                              <a:spcPct val="0"/>
                            </a:spcAft>
                            <a:defRPr sz="3600">
                              <a:solidFill>
                                <a:srgbClr val="AB1575"/>
                              </a:solidFill>
                              <a:latin typeface="Calibri" pitchFamily="34" charset="0"/>
                            </a:defRPr>
                          </a:lvl7pPr>
                          <a:lvl8pPr marL="1371600" algn="ctr" rtl="0" fontAlgn="base">
                            <a:spcBef>
                              <a:spcPct val="0"/>
                            </a:spcBef>
                            <a:spcAft>
                              <a:spcPct val="0"/>
                            </a:spcAft>
                            <a:defRPr sz="3600">
                              <a:solidFill>
                                <a:srgbClr val="AB1575"/>
                              </a:solidFill>
                              <a:latin typeface="Calibri" pitchFamily="34" charset="0"/>
                            </a:defRPr>
                          </a:lvl8pPr>
                          <a:lvl9pPr marL="1828800" algn="ctr" rtl="0" fontAlgn="base">
                            <a:spcBef>
                              <a:spcPct val="0"/>
                            </a:spcBef>
                            <a:spcAft>
                              <a:spcPct val="0"/>
                            </a:spcAft>
                            <a:defRPr sz="3600">
                              <a:solidFill>
                                <a:srgbClr val="AB1575"/>
                              </a:solidFill>
                              <a:latin typeface="Calibri" pitchFamily="34" charset="0"/>
                            </a:defRPr>
                          </a:lvl9pPr>
                        </a:lstStyle>
                        <a:p>
                          <a:pPr eaLnBrk="1" hangingPunct="1"/>
                          <a:r>
                            <a:rPr lang="fr-FR" smtClean="0"/>
                            <a:t>Exemple : le capteur solaire</a:t>
                          </a:r>
                        </a:p>
                      </a:txBody>
                      <a:useSpRect/>
                    </a:txSp>
                  </a:sp>
                  <a:sp>
                    <a:nvSpPr>
                      <a:cNvPr id="3" name="Espace réservé du texte 2"/>
                      <a:cNvSpPr>
                        <a:spLocks noGrp="1"/>
                      </a:cNvSpPr>
                    </a:nvSpPr>
                    <a:spPr bwMode="auto">
                      <a:xfrm>
                        <a:off x="6643688" y="1143000"/>
                        <a:ext cx="2286000" cy="639763"/>
                      </a:xfrm>
                      <a:prstGeom prst="rect">
                        <a:avLst/>
                      </a:prstGeom>
                      <a:noFill/>
                      <a:ln w="9525">
                        <a:noFill/>
                        <a:miter lim="800000"/>
                        <a:headEnd/>
                        <a:tailEnd/>
                      </a:ln>
                    </a:spPr>
                    <a:txSp>
                      <a:txBody>
                        <a:bodyPr vert="horz" wrap="square" lIns="91440" tIns="45720" rIns="91440" bIns="45720" numCol="1" anchor="b" anchorCtr="0" compatLnSpc="1">
                          <a:prstTxWarp prst="textNoShape">
                            <a:avLst/>
                          </a:prstTxWarp>
                        </a:bodyPr>
                        <a:lstStyle>
                          <a:lvl1pPr marL="0" indent="0" algn="l" rtl="0" eaLnBrk="0" fontAlgn="base" hangingPunct="0">
                            <a:spcBef>
                              <a:spcPct val="20000"/>
                            </a:spcBef>
                            <a:spcAft>
                              <a:spcPct val="0"/>
                            </a:spcAft>
                            <a:buFont typeface="Arial" charset="0"/>
                            <a:buNone/>
                            <a:defRPr sz="2400" b="1" kern="1200">
                              <a:solidFill>
                                <a:srgbClr val="009242"/>
                              </a:solidFill>
                              <a:latin typeface="+mn-lt"/>
                              <a:ea typeface="+mn-ea"/>
                              <a:cs typeface="+mn-cs"/>
                            </a:defRPr>
                          </a:lvl1pPr>
                          <a:lvl2pPr marL="457200" indent="0" algn="l" rtl="0" eaLnBrk="0" fontAlgn="base" hangingPunct="0">
                            <a:spcBef>
                              <a:spcPct val="20000"/>
                            </a:spcBef>
                            <a:spcAft>
                              <a:spcPct val="0"/>
                            </a:spcAft>
                            <a:buFont typeface="Arial" charset="0"/>
                            <a:buNone/>
                            <a:defRPr sz="2000" b="1" kern="1200">
                              <a:solidFill>
                                <a:srgbClr val="7E4E99"/>
                              </a:solidFill>
                              <a:latin typeface="+mn-lt"/>
                              <a:ea typeface="+mn-ea"/>
                              <a:cs typeface="+mn-cs"/>
                            </a:defRPr>
                          </a:lvl2pPr>
                          <a:lvl3pPr marL="914400" indent="0" algn="l" rtl="0" eaLnBrk="0" fontAlgn="base" hangingPunct="0">
                            <a:spcBef>
                              <a:spcPct val="20000"/>
                            </a:spcBef>
                            <a:spcAft>
                              <a:spcPct val="0"/>
                            </a:spcAft>
                            <a:buFont typeface="Arial" charset="0"/>
                            <a:buNone/>
                            <a:defRPr sz="1800" b="1" kern="1200">
                              <a:solidFill>
                                <a:schemeClr val="tx1"/>
                              </a:solidFill>
                              <a:latin typeface="+mn-lt"/>
                              <a:ea typeface="+mn-ea"/>
                              <a:cs typeface="+mn-cs"/>
                            </a:defRPr>
                          </a:lvl3pPr>
                          <a:lvl4pPr marL="13716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4pPr>
                          <a:lvl5pPr marL="18288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9pPr>
                        </a:lstStyle>
                        <a:p>
                          <a:pPr eaLnBrk="1" hangingPunct="1"/>
                          <a:r>
                            <a:rPr lang="fr-FR" b="0" smtClean="0">
                              <a:solidFill>
                                <a:srgbClr val="FFFF00"/>
                              </a:solidFill>
                            </a:rPr>
                            <a:t>Rayonnement</a:t>
                          </a:r>
                        </a:p>
                      </a:txBody>
                      <a:useSpRect/>
                    </a:txSp>
                  </a:sp>
                  <a:graphicFrame>
                    <a:nvGraphicFramePr>
                      <a:cNvPr id="18" name="Espace réservé du contenu 17"/>
                      <a:cNvGraphicFramePr>
                        <a:graphicFrameLocks noGrp="1"/>
                      </a:cNvGraphicFramePr>
                    </a:nvGraphicFramePr>
                    <a:graphic>
                      <a:graphicData uri="http://schemas.openxmlformats.org/drawingml/2006/diagram">
                        <dgm:relIds xmlns:dgm="http://schemas.openxmlformats.org/drawingml/2006/diagram" xmlns:r="http://schemas.openxmlformats.org/officeDocument/2006/relationships" r:dm="rId7" r:lo="rId8" r:qs="rId9" r:cs="rId10"/>
                      </a:graphicData>
                    </a:graphic>
                    <a:xfrm>
                      <a:off x="28604" y="1389057"/>
                      <a:ext cx="4040188" cy="3951288"/>
                    </a:xfrm>
                  </a:graphicFrame>
                  <a:sp>
                    <a:nvSpPr>
                      <a:cNvPr id="6" name="Espace réservé du contenu 5"/>
                      <a:cNvSpPr>
                        <a:spLocks noGrp="1"/>
                      </a:cNvSpPr>
                    </a:nvSpPr>
                    <a:spPr bwMode="auto">
                      <a:xfrm>
                        <a:off x="6286500" y="3786188"/>
                        <a:ext cx="2857500" cy="1897062"/>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Font typeface="Arial" charset="0"/>
                            <a:buChar char="•"/>
                            <a:defRPr sz="2400" kern="1200">
                              <a:solidFill>
                                <a:srgbClr val="009242"/>
                              </a:solidFill>
                              <a:latin typeface="+mn-lt"/>
                              <a:ea typeface="+mn-ea"/>
                              <a:cs typeface="+mn-cs"/>
                            </a:defRPr>
                          </a:lvl1pPr>
                          <a:lvl2pPr marL="742950" indent="-285750" algn="l" rtl="0" eaLnBrk="0" fontAlgn="base" hangingPunct="0">
                            <a:spcBef>
                              <a:spcPct val="20000"/>
                            </a:spcBef>
                            <a:spcAft>
                              <a:spcPct val="0"/>
                            </a:spcAft>
                            <a:buFont typeface="Arial" charset="0"/>
                            <a:buChar char="–"/>
                            <a:defRPr sz="2000" kern="1200">
                              <a:solidFill>
                                <a:srgbClr val="7E4E99"/>
                              </a:solidFill>
                              <a:latin typeface="+mn-lt"/>
                              <a:ea typeface="+mn-ea"/>
                              <a:cs typeface="+mn-cs"/>
                            </a:defRPr>
                          </a:lvl2pPr>
                          <a:lvl3pPr marL="1143000" indent="-228600" algn="l" rtl="0" eaLnBrk="0" fontAlgn="base" hangingPunct="0">
                            <a:spcBef>
                              <a:spcPct val="20000"/>
                            </a:spcBef>
                            <a:spcAft>
                              <a:spcPct val="0"/>
                            </a:spcAft>
                            <a:buFont typeface="Arial" charset="0"/>
                            <a:buChar char="•"/>
                            <a:defRPr sz="1800" kern="1200">
                              <a:solidFill>
                                <a:schemeClr val="tx1"/>
                              </a:solidFill>
                              <a:latin typeface="+mn-lt"/>
                              <a:ea typeface="+mn-ea"/>
                              <a:cs typeface="+mn-cs"/>
                            </a:defRPr>
                          </a:lvl3pPr>
                          <a:lvl4pPr marL="1600200" indent="-228600" algn="l" rtl="0" eaLnBrk="0" fontAlgn="base" hangingPunct="0">
                            <a:spcBef>
                              <a:spcPct val="20000"/>
                            </a:spcBef>
                            <a:spcAft>
                              <a:spcPct val="0"/>
                            </a:spcAft>
                            <a:buFont typeface="Arial" charset="0"/>
                            <a:buChar char="–"/>
                            <a:defRPr sz="1600" kern="1200">
                              <a:solidFill>
                                <a:schemeClr val="tx1"/>
                              </a:solidFill>
                              <a:latin typeface="+mn-lt"/>
                              <a:ea typeface="+mn-ea"/>
                              <a:cs typeface="+mn-cs"/>
                            </a:defRPr>
                          </a:lvl4pPr>
                          <a:lvl5pPr marL="2057400" indent="-228600" algn="l" rtl="0" eaLnBrk="0" fontAlgn="base" hangingPunct="0">
                            <a:spcBef>
                              <a:spcPct val="20000"/>
                            </a:spcBef>
                            <a:spcAft>
                              <a:spcPct val="0"/>
                            </a:spcAft>
                            <a:buFont typeface="Arial" charset="0"/>
                            <a:buChar char="»"/>
                            <a:defRPr sz="16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16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16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16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1600" kern="1200">
                              <a:solidFill>
                                <a:schemeClr val="tx1"/>
                              </a:solidFill>
                              <a:latin typeface="+mn-lt"/>
                              <a:ea typeface="+mn-ea"/>
                              <a:cs typeface="+mn-cs"/>
                            </a:defRPr>
                          </a:lvl9pPr>
                        </a:lstStyle>
                        <a:p>
                          <a:pPr eaLnBrk="1" hangingPunct="1"/>
                          <a:r>
                            <a:rPr lang="fr-FR" sz="2000" smtClean="0">
                              <a:solidFill>
                                <a:srgbClr val="0070C0"/>
                              </a:solidFill>
                            </a:rPr>
                            <a:t>V : vitrage</a:t>
                          </a:r>
                        </a:p>
                        <a:p>
                          <a:pPr eaLnBrk="1" hangingPunct="1"/>
                          <a:r>
                            <a:rPr lang="fr-FR" sz="2000" smtClean="0">
                              <a:solidFill>
                                <a:schemeClr val="tx1"/>
                              </a:solidFill>
                            </a:rPr>
                            <a:t>A: absorbeur (noir)</a:t>
                          </a:r>
                        </a:p>
                        <a:p>
                          <a:pPr eaLnBrk="1" hangingPunct="1"/>
                          <a:r>
                            <a:rPr lang="fr-FR" sz="2000" smtClean="0">
                              <a:solidFill>
                                <a:srgbClr val="FF6600"/>
                              </a:solidFill>
                            </a:rPr>
                            <a:t>I: isolant thermique</a:t>
                          </a:r>
                        </a:p>
                        <a:p>
                          <a:pPr eaLnBrk="1" hangingPunct="1"/>
                          <a:r>
                            <a:rPr lang="fr-FR" sz="2000" smtClean="0">
                              <a:solidFill>
                                <a:srgbClr val="FF0000"/>
                              </a:solidFill>
                            </a:rPr>
                            <a:t>O: fluide caloporteur</a:t>
                          </a:r>
                        </a:p>
                        <a:p>
                          <a:pPr eaLnBrk="1" hangingPunct="1"/>
                          <a:endParaRPr lang="fr-FR" sz="2000" smtClean="0"/>
                        </a:p>
                      </a:txBody>
                      <a:useSpRect/>
                    </a:txSp>
                  </a:sp>
                  <a:pic>
                    <a:nvPicPr>
                      <a:cNvPr id="37893" name="Picture 2"/>
                      <a:cNvPicPr>
                        <a:picLocks noChangeAspect="1" noChangeArrowheads="1"/>
                      </a:cNvPicPr>
                    </a:nvPicPr>
                    <a:blipFill>
                      <a:blip r:embed="rId12" cstate="print"/>
                      <a:srcRect/>
                      <a:stretch>
                        <a:fillRect/>
                      </a:stretch>
                    </a:blipFill>
                    <a:spPr bwMode="auto">
                      <a:xfrm>
                        <a:off x="0" y="1143000"/>
                        <a:ext cx="5872163" cy="3786188"/>
                      </a:xfrm>
                      <a:prstGeom prst="rect">
                        <a:avLst/>
                      </a:prstGeom>
                      <a:noFill/>
                      <a:ln w="9525">
                        <a:noFill/>
                        <a:miter lim="800000"/>
                        <a:headEnd/>
                        <a:tailEnd/>
                      </a:ln>
                    </a:spPr>
                  </a:pic>
                  <a:sp>
                    <a:nvSpPr>
                      <a:cNvPr id="8" name="Espace réservé du contenu 5"/>
                      <a:cNvSpPr txBox="1">
                        <a:spLocks/>
                      </a:cNvSpPr>
                    </a:nvSpPr>
                    <a:spPr>
                      <a:xfrm>
                        <a:off x="4786313" y="1143000"/>
                        <a:ext cx="4041775" cy="3951288"/>
                      </a:xfrm>
                      <a:prstGeom prst="rect">
                        <a:avLst/>
                      </a:prstGeom>
                    </a:spPr>
                    <a:txSp>
                      <a:txBody>
                        <a:bodyPr>
                          <a:norm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pPr marL="342900" indent="-342900" fontAlgn="auto">
                            <a:spcBef>
                              <a:spcPct val="20000"/>
                            </a:spcBef>
                            <a:spcAft>
                              <a:spcPts val="0"/>
                            </a:spcAft>
                            <a:buFont typeface="Arial" pitchFamily="34" charset="0"/>
                            <a:buChar char="•"/>
                            <a:defRPr/>
                          </a:pPr>
                          <a:endParaRPr lang="fr-FR" sz="2400" dirty="0">
                            <a:solidFill>
                              <a:srgbClr val="00B050"/>
                            </a:solidFill>
                            <a:latin typeface="+mn-lt"/>
                          </a:endParaRPr>
                        </a:p>
                        <a:p>
                          <a:pPr marL="342900" indent="-342900" fontAlgn="auto">
                            <a:spcBef>
                              <a:spcPct val="20000"/>
                            </a:spcBef>
                            <a:spcAft>
                              <a:spcPts val="0"/>
                            </a:spcAft>
                            <a:buFont typeface="Arial" pitchFamily="34" charset="0"/>
                            <a:buChar char="•"/>
                            <a:defRPr/>
                          </a:pPr>
                          <a:endParaRPr lang="fr-FR" sz="2400" dirty="0">
                            <a:solidFill>
                              <a:srgbClr val="00B050"/>
                            </a:solidFill>
                            <a:latin typeface="+mn-lt"/>
                          </a:endParaRPr>
                        </a:p>
                        <a:p>
                          <a:pPr marL="342900" indent="-342900" fontAlgn="auto">
                            <a:spcBef>
                              <a:spcPct val="20000"/>
                            </a:spcBef>
                            <a:spcAft>
                              <a:spcPts val="0"/>
                            </a:spcAft>
                            <a:buFont typeface="Arial" pitchFamily="34" charset="0"/>
                            <a:buChar char="•"/>
                            <a:defRPr/>
                          </a:pPr>
                          <a:endParaRPr lang="fr-FR" sz="2400" dirty="0">
                            <a:solidFill>
                              <a:srgbClr val="00B050"/>
                            </a:solidFill>
                            <a:latin typeface="+mn-lt"/>
                          </a:endParaRPr>
                        </a:p>
                      </a:txBody>
                      <a:useSpRect/>
                    </a:txSp>
                  </a:sp>
                  <a:sp>
                    <a:nvSpPr>
                      <a:cNvPr id="9" name="Espace réservé du texte 2"/>
                      <a:cNvSpPr>
                        <a:spLocks noGrp="1"/>
                      </a:cNvSpPr>
                    </a:nvSpPr>
                    <a:spPr bwMode="auto">
                      <a:xfrm>
                        <a:off x="6643688" y="2000250"/>
                        <a:ext cx="1928812" cy="639763"/>
                      </a:xfrm>
                      <a:prstGeom prst="rect">
                        <a:avLst/>
                      </a:prstGeom>
                      <a:noFill/>
                      <a:ln w="9525">
                        <a:noFill/>
                        <a:miter lim="800000"/>
                        <a:headEnd/>
                        <a:tailEnd/>
                      </a:ln>
                    </a:spPr>
                    <a:txSp>
                      <a:txBody>
                        <a:bodyPr vert="horz" wrap="square" lIns="91440" tIns="45720" rIns="91440" bIns="45720" numCol="1" anchor="b" anchorCtr="0" compatLnSpc="1">
                          <a:prstTxWarp prst="textNoShape">
                            <a:avLst/>
                          </a:prstTxWarp>
                        </a:bodyPr>
                        <a:lstStyle>
                          <a:lvl1pPr marL="0" indent="0" algn="l" rtl="0" eaLnBrk="0" fontAlgn="base" hangingPunct="0">
                            <a:spcBef>
                              <a:spcPct val="20000"/>
                            </a:spcBef>
                            <a:spcAft>
                              <a:spcPct val="0"/>
                            </a:spcAft>
                            <a:buFont typeface="Arial" charset="0"/>
                            <a:buNone/>
                            <a:defRPr sz="2400" b="1" kern="1200">
                              <a:solidFill>
                                <a:srgbClr val="009242"/>
                              </a:solidFill>
                              <a:latin typeface="+mn-lt"/>
                              <a:ea typeface="+mn-ea"/>
                              <a:cs typeface="+mn-cs"/>
                            </a:defRPr>
                          </a:lvl1pPr>
                          <a:lvl2pPr marL="457200" indent="0" algn="l" rtl="0" eaLnBrk="0" fontAlgn="base" hangingPunct="0">
                            <a:spcBef>
                              <a:spcPct val="20000"/>
                            </a:spcBef>
                            <a:spcAft>
                              <a:spcPct val="0"/>
                            </a:spcAft>
                            <a:buFont typeface="Arial" charset="0"/>
                            <a:buNone/>
                            <a:defRPr sz="2000" b="1" kern="1200">
                              <a:solidFill>
                                <a:srgbClr val="7E4E99"/>
                              </a:solidFill>
                              <a:latin typeface="+mn-lt"/>
                              <a:ea typeface="+mn-ea"/>
                              <a:cs typeface="+mn-cs"/>
                            </a:defRPr>
                          </a:lvl2pPr>
                          <a:lvl3pPr marL="914400" indent="0" algn="l" rtl="0" eaLnBrk="0" fontAlgn="base" hangingPunct="0">
                            <a:spcBef>
                              <a:spcPct val="20000"/>
                            </a:spcBef>
                            <a:spcAft>
                              <a:spcPct val="0"/>
                            </a:spcAft>
                            <a:buFont typeface="Arial" charset="0"/>
                            <a:buNone/>
                            <a:defRPr sz="1800" b="1" kern="1200">
                              <a:solidFill>
                                <a:schemeClr val="tx1"/>
                              </a:solidFill>
                              <a:latin typeface="+mn-lt"/>
                              <a:ea typeface="+mn-ea"/>
                              <a:cs typeface="+mn-cs"/>
                            </a:defRPr>
                          </a:lvl3pPr>
                          <a:lvl4pPr marL="13716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4pPr>
                          <a:lvl5pPr marL="18288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9pPr>
                        </a:lstStyle>
                        <a:p>
                          <a:pPr eaLnBrk="1" hangingPunct="1"/>
                          <a:r>
                            <a:rPr lang="fr-FR" b="0" smtClean="0">
                              <a:solidFill>
                                <a:srgbClr val="FF0000"/>
                              </a:solidFill>
                            </a:rPr>
                            <a:t>Convection</a:t>
                          </a:r>
                        </a:p>
                      </a:txBody>
                      <a:useSpRect/>
                    </a:txSp>
                  </a:sp>
                  <a:sp>
                    <a:nvSpPr>
                      <a:cNvPr id="10" name="Espace réservé du texte 2"/>
                      <a:cNvSpPr>
                        <a:spLocks noGrp="1"/>
                      </a:cNvSpPr>
                    </a:nvSpPr>
                    <a:spPr bwMode="auto">
                      <a:xfrm>
                        <a:off x="6643688" y="1571625"/>
                        <a:ext cx="2000250" cy="639763"/>
                      </a:xfrm>
                      <a:prstGeom prst="rect">
                        <a:avLst/>
                      </a:prstGeom>
                      <a:noFill/>
                      <a:ln w="9525">
                        <a:noFill/>
                        <a:miter lim="800000"/>
                        <a:headEnd/>
                        <a:tailEnd/>
                      </a:ln>
                    </a:spPr>
                    <a:txSp>
                      <a:txBody>
                        <a:bodyPr vert="horz" wrap="square" lIns="91440" tIns="45720" rIns="91440" bIns="45720" numCol="1" anchor="b" anchorCtr="0" compatLnSpc="1">
                          <a:prstTxWarp prst="textNoShape">
                            <a:avLst/>
                          </a:prstTxWarp>
                        </a:bodyPr>
                        <a:lstStyle>
                          <a:lvl1pPr marL="0" indent="0" algn="l" rtl="0" eaLnBrk="0" fontAlgn="base" hangingPunct="0">
                            <a:spcBef>
                              <a:spcPct val="20000"/>
                            </a:spcBef>
                            <a:spcAft>
                              <a:spcPct val="0"/>
                            </a:spcAft>
                            <a:buFont typeface="Arial" charset="0"/>
                            <a:buNone/>
                            <a:defRPr sz="2400" b="1" kern="1200">
                              <a:solidFill>
                                <a:srgbClr val="009242"/>
                              </a:solidFill>
                              <a:latin typeface="+mn-lt"/>
                              <a:ea typeface="+mn-ea"/>
                              <a:cs typeface="+mn-cs"/>
                            </a:defRPr>
                          </a:lvl1pPr>
                          <a:lvl2pPr marL="457200" indent="0" algn="l" rtl="0" eaLnBrk="0" fontAlgn="base" hangingPunct="0">
                            <a:spcBef>
                              <a:spcPct val="20000"/>
                            </a:spcBef>
                            <a:spcAft>
                              <a:spcPct val="0"/>
                            </a:spcAft>
                            <a:buFont typeface="Arial" charset="0"/>
                            <a:buNone/>
                            <a:defRPr sz="2000" b="1" kern="1200">
                              <a:solidFill>
                                <a:srgbClr val="7E4E99"/>
                              </a:solidFill>
                              <a:latin typeface="+mn-lt"/>
                              <a:ea typeface="+mn-ea"/>
                              <a:cs typeface="+mn-cs"/>
                            </a:defRPr>
                          </a:lvl2pPr>
                          <a:lvl3pPr marL="914400" indent="0" algn="l" rtl="0" eaLnBrk="0" fontAlgn="base" hangingPunct="0">
                            <a:spcBef>
                              <a:spcPct val="20000"/>
                            </a:spcBef>
                            <a:spcAft>
                              <a:spcPct val="0"/>
                            </a:spcAft>
                            <a:buFont typeface="Arial" charset="0"/>
                            <a:buNone/>
                            <a:defRPr sz="1800" b="1" kern="1200">
                              <a:solidFill>
                                <a:schemeClr val="tx1"/>
                              </a:solidFill>
                              <a:latin typeface="+mn-lt"/>
                              <a:ea typeface="+mn-ea"/>
                              <a:cs typeface="+mn-cs"/>
                            </a:defRPr>
                          </a:lvl3pPr>
                          <a:lvl4pPr marL="13716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4pPr>
                          <a:lvl5pPr marL="1828800" indent="0" algn="l" rtl="0" eaLnBrk="0" fontAlgn="base" hangingPunct="0">
                            <a:spcBef>
                              <a:spcPct val="20000"/>
                            </a:spcBef>
                            <a:spcAft>
                              <a:spcPct val="0"/>
                            </a:spcAft>
                            <a:buFont typeface="Arial" charset="0"/>
                            <a:buNone/>
                            <a:defRPr sz="1600" b="1"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1600" b="1" kern="1200">
                              <a:solidFill>
                                <a:schemeClr val="tx1"/>
                              </a:solidFill>
                              <a:latin typeface="+mn-lt"/>
                              <a:ea typeface="+mn-ea"/>
                              <a:cs typeface="+mn-cs"/>
                            </a:defRPr>
                          </a:lvl9pPr>
                        </a:lstStyle>
                        <a:p>
                          <a:pPr eaLnBrk="1" hangingPunct="1"/>
                          <a:r>
                            <a:rPr lang="fr-FR" b="0" smtClean="0">
                              <a:solidFill>
                                <a:schemeClr val="tx1"/>
                              </a:solidFill>
                            </a:rPr>
                            <a:t>Conduction</a:t>
                          </a:r>
                        </a:p>
                      </a:txBody>
                      <a:useSpRect/>
                    </a:txSp>
                  </a:sp>
                  <a:sp>
                    <a:nvSpPr>
                      <a:cNvPr id="19" name="Flèche droite 18"/>
                      <a:cNvSpPr/>
                    </a:nvSpPr>
                    <a:spPr>
                      <a:xfrm>
                        <a:off x="1000125" y="4071938"/>
                        <a:ext cx="500063" cy="71437"/>
                      </a:xfrm>
                      <a:prstGeom prst="rightArrow">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Flèche droite 25"/>
                      <a:cNvSpPr/>
                    </a:nvSpPr>
                    <a:spPr>
                      <a:xfrm rot="10800000">
                        <a:off x="1785938" y="3857625"/>
                        <a:ext cx="500062" cy="71438"/>
                      </a:xfrm>
                      <a:prstGeom prst="rightArrow">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Flèche courbée vers le bas 27"/>
                      <a:cNvSpPr/>
                    </a:nvSpPr>
                    <a:spPr>
                      <a:xfrm>
                        <a:off x="785813" y="3143250"/>
                        <a:ext cx="357187" cy="214313"/>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Flèche courbée vers le bas 28"/>
                      <a:cNvSpPr/>
                    </a:nvSpPr>
                    <a:spPr>
                      <a:xfrm rot="10800000">
                        <a:off x="3643313" y="3786188"/>
                        <a:ext cx="357187" cy="214312"/>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Flèche courbée vers le bas 29"/>
                      <a:cNvSpPr/>
                    </a:nvSpPr>
                    <a:spPr>
                      <a:xfrm rot="10800000">
                        <a:off x="714375" y="2857500"/>
                        <a:ext cx="357188" cy="214313"/>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Flèche droite 30"/>
                      <a:cNvSpPr/>
                    </a:nvSpPr>
                    <a:spPr>
                      <a:xfrm rot="5400000">
                        <a:off x="1643063" y="4429125"/>
                        <a:ext cx="500062" cy="71438"/>
                      </a:xfrm>
                      <a:prstGeom prst="rightArrow">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lèche courbée vers le bas 31"/>
                      <a:cNvSpPr/>
                    </a:nvSpPr>
                    <a:spPr>
                      <a:xfrm>
                        <a:off x="1928813" y="4714875"/>
                        <a:ext cx="357187" cy="214313"/>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Flèche courbée vers le bas 32"/>
                      <a:cNvSpPr/>
                    </a:nvSpPr>
                    <a:spPr>
                      <a:xfrm>
                        <a:off x="6286500" y="2286000"/>
                        <a:ext cx="357188" cy="214313"/>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Flèche droite 33"/>
                      <a:cNvSpPr/>
                    </a:nvSpPr>
                    <a:spPr>
                      <a:xfrm>
                        <a:off x="6143625" y="1928813"/>
                        <a:ext cx="500063" cy="71437"/>
                      </a:xfrm>
                      <a:prstGeom prst="rightArrow">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Flèche droite 34"/>
                      <a:cNvSpPr/>
                    </a:nvSpPr>
                    <a:spPr>
                      <a:xfrm>
                        <a:off x="6072188" y="1571625"/>
                        <a:ext cx="500062" cy="71438"/>
                      </a:xfrm>
                      <a:prstGeom prst="rightArrow">
                        <a:avLst/>
                      </a:pr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Organigramme : Stockage à accès direct 36"/>
                      <a:cNvSpPr/>
                    </a:nvSpPr>
                    <a:spPr>
                      <a:xfrm rot="9590945">
                        <a:off x="3357563" y="5143500"/>
                        <a:ext cx="1677987" cy="928688"/>
                      </a:xfrm>
                      <a:prstGeom prst="flowChartMagneticDrum">
                        <a:avLst/>
                      </a:prstGeom>
                      <a:solidFill>
                        <a:srgbClr val="FF33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b="1"/>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Flèche courbée vers le bas 24"/>
                      <a:cNvSpPr/>
                    </a:nvSpPr>
                    <a:spPr>
                      <a:xfrm>
                        <a:off x="3502025" y="5597525"/>
                        <a:ext cx="428625" cy="428625"/>
                      </a:xfrm>
                      <a:prstGeom prst="curvedDownArrow">
                        <a:avLst/>
                      </a:prstGeom>
                      <a:solidFill>
                        <a:srgbClr val="FF0000"/>
                      </a:solidFill>
                      <a:ln>
                        <a:solidFill>
                          <a:srgbClr val="C000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Flèche droite 37"/>
                      <a:cNvSpPr/>
                    </a:nvSpPr>
                    <a:spPr>
                      <a:xfrm rot="5116630">
                        <a:off x="3409157" y="5274469"/>
                        <a:ext cx="350837" cy="149225"/>
                      </a:xfrm>
                      <a:prstGeom prst="rightArrow">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Connecteur droit avec flèche 40"/>
                      <a:cNvCxnSpPr>
                        <a:stCxn id="37" idx="2"/>
                      </a:cNvCxnSpPr>
                    </a:nvCxnSpPr>
                    <a:spPr>
                      <a:xfrm rot="16200000" flipV="1">
                        <a:off x="2897188" y="4032250"/>
                        <a:ext cx="1028700" cy="1250950"/>
                      </a:xfrm>
                      <a:prstGeom prst="straightConnector1">
                        <a:avLst/>
                      </a:prstGeom>
                      <a:ln>
                        <a:solidFill>
                          <a:schemeClr val="accent4">
                            <a:lumMod val="50000"/>
                          </a:schemeClr>
                        </a:solidFill>
                        <a:tailEnd type="arrow"/>
                      </a:ln>
                    </a:spPr>
                    <a:style>
                      <a:lnRef idx="1">
                        <a:schemeClr val="accent1"/>
                      </a:lnRef>
                      <a:fillRef idx="0">
                        <a:schemeClr val="accent1"/>
                      </a:fillRef>
                      <a:effectRef idx="0">
                        <a:schemeClr val="accent1"/>
                      </a:effectRef>
                      <a:fontRef idx="minor">
                        <a:schemeClr val="tx1"/>
                      </a:fontRef>
                    </a:style>
                  </a:cxnSp>
                  <a:sp>
                    <a:nvSpPr>
                      <a:cNvPr id="37911" name="ZoneTexte 26"/>
                      <a:cNvSpPr txBox="1">
                        <a:spLocks noChangeArrowheads="1"/>
                      </a:cNvSpPr>
                    </a:nvSpPr>
                    <a:spPr bwMode="auto">
                      <a:xfrm>
                        <a:off x="5076825" y="5300663"/>
                        <a:ext cx="358775"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Century Gothic" pitchFamily="34" charset="0"/>
                              <a:ea typeface="+mn-ea"/>
                              <a:cs typeface="+mn-cs"/>
                            </a:defRPr>
                          </a:lvl1pPr>
                          <a:lvl2pPr marL="457200" algn="l" rtl="0" fontAlgn="base">
                            <a:spcBef>
                              <a:spcPct val="0"/>
                            </a:spcBef>
                            <a:spcAft>
                              <a:spcPct val="0"/>
                            </a:spcAft>
                            <a:defRPr kern="1200">
                              <a:solidFill>
                                <a:schemeClr val="tx1"/>
                              </a:solidFill>
                              <a:latin typeface="Century Gothic" pitchFamily="34" charset="0"/>
                              <a:ea typeface="+mn-ea"/>
                              <a:cs typeface="+mn-cs"/>
                            </a:defRPr>
                          </a:lvl2pPr>
                          <a:lvl3pPr marL="914400" algn="l" rtl="0" fontAlgn="base">
                            <a:spcBef>
                              <a:spcPct val="0"/>
                            </a:spcBef>
                            <a:spcAft>
                              <a:spcPct val="0"/>
                            </a:spcAft>
                            <a:defRPr kern="1200">
                              <a:solidFill>
                                <a:schemeClr val="tx1"/>
                              </a:solidFill>
                              <a:latin typeface="Century Gothic" pitchFamily="34" charset="0"/>
                              <a:ea typeface="+mn-ea"/>
                              <a:cs typeface="+mn-cs"/>
                            </a:defRPr>
                          </a:lvl3pPr>
                          <a:lvl4pPr marL="1371600" algn="l" rtl="0" fontAlgn="base">
                            <a:spcBef>
                              <a:spcPct val="0"/>
                            </a:spcBef>
                            <a:spcAft>
                              <a:spcPct val="0"/>
                            </a:spcAft>
                            <a:defRPr kern="1200">
                              <a:solidFill>
                                <a:schemeClr val="tx1"/>
                              </a:solidFill>
                              <a:latin typeface="Century Gothic" pitchFamily="34" charset="0"/>
                              <a:ea typeface="+mn-ea"/>
                              <a:cs typeface="+mn-cs"/>
                            </a:defRPr>
                          </a:lvl4pPr>
                          <a:lvl5pPr marL="1828800" algn="l" rtl="0" fontAlgn="base">
                            <a:spcBef>
                              <a:spcPct val="0"/>
                            </a:spcBef>
                            <a:spcAft>
                              <a:spcPct val="0"/>
                            </a:spcAft>
                            <a:defRPr kern="1200">
                              <a:solidFill>
                                <a:schemeClr val="tx1"/>
                              </a:solidFill>
                              <a:latin typeface="Century Gothic" pitchFamily="34" charset="0"/>
                              <a:ea typeface="+mn-ea"/>
                              <a:cs typeface="+mn-cs"/>
                            </a:defRPr>
                          </a:lvl5pPr>
                          <a:lvl6pPr marL="2286000" algn="l" defTabSz="914400" rtl="0" eaLnBrk="1" latinLnBrk="0" hangingPunct="1">
                            <a:defRPr kern="1200">
                              <a:solidFill>
                                <a:schemeClr val="tx1"/>
                              </a:solidFill>
                              <a:latin typeface="Century Gothic" pitchFamily="34" charset="0"/>
                              <a:ea typeface="+mn-ea"/>
                              <a:cs typeface="+mn-cs"/>
                            </a:defRPr>
                          </a:lvl6pPr>
                          <a:lvl7pPr marL="2743200" algn="l" defTabSz="914400" rtl="0" eaLnBrk="1" latinLnBrk="0" hangingPunct="1">
                            <a:defRPr kern="1200">
                              <a:solidFill>
                                <a:schemeClr val="tx1"/>
                              </a:solidFill>
                              <a:latin typeface="Century Gothic" pitchFamily="34" charset="0"/>
                              <a:ea typeface="+mn-ea"/>
                              <a:cs typeface="+mn-cs"/>
                            </a:defRPr>
                          </a:lvl7pPr>
                          <a:lvl8pPr marL="3200400" algn="l" defTabSz="914400" rtl="0" eaLnBrk="1" latinLnBrk="0" hangingPunct="1">
                            <a:defRPr kern="1200">
                              <a:solidFill>
                                <a:schemeClr val="tx1"/>
                              </a:solidFill>
                              <a:latin typeface="Century Gothic" pitchFamily="34" charset="0"/>
                              <a:ea typeface="+mn-ea"/>
                              <a:cs typeface="+mn-cs"/>
                            </a:defRPr>
                          </a:lvl8pPr>
                          <a:lvl9pPr marL="3657600" algn="l" defTabSz="914400" rtl="0" eaLnBrk="1" latinLnBrk="0" hangingPunct="1">
                            <a:defRPr kern="1200">
                              <a:solidFill>
                                <a:schemeClr val="tx1"/>
                              </a:solidFill>
                              <a:latin typeface="Century Gothic" pitchFamily="34" charset="0"/>
                              <a:ea typeface="+mn-ea"/>
                              <a:cs typeface="+mn-cs"/>
                            </a:defRPr>
                          </a:lvl9pPr>
                        </a:lstStyle>
                        <a:p>
                          <a:r>
                            <a:rPr lang="fr-FR" sz="2000" b="1">
                              <a:solidFill>
                                <a:srgbClr val="FF0000"/>
                              </a:solidFill>
                            </a:rPr>
                            <a:t>O</a:t>
                          </a:r>
                          <a:endParaRPr lang="fr-FR" b="1">
                            <a:solidFill>
                              <a:srgbClr val="FF0000"/>
                            </a:solidFill>
                          </a:endParaRPr>
                        </a:p>
                      </a:txBody>
                      <a:useSpRect/>
                    </a:txSp>
                  </a:sp>
                </lc:lockedCanvas>
              </a:graphicData>
            </a:graphic>
          </wp:inline>
        </w:drawing>
      </w:r>
    </w:p>
    <w:p w:rsidR="00BD75A7" w:rsidRDefault="00BD75A7">
      <w:pPr>
        <w:rPr>
          <w:rFonts w:asciiTheme="majorHAnsi" w:eastAsiaTheme="majorEastAsia" w:hAnsiTheme="majorHAnsi" w:cstheme="majorBidi"/>
          <w:b/>
          <w:bCs/>
          <w:color w:val="4F81BD" w:themeColor="accent1"/>
          <w:sz w:val="26"/>
          <w:szCs w:val="26"/>
        </w:rPr>
      </w:pPr>
      <w:r>
        <w:br w:type="page"/>
      </w:r>
    </w:p>
    <w:p w:rsidR="00BD75A7" w:rsidRDefault="00BD75A7" w:rsidP="00BD75A7">
      <w:pPr>
        <w:pStyle w:val="Titre2"/>
      </w:pPr>
      <w:r>
        <w:lastRenderedPageBreak/>
        <w:t>Stockage de chaleur :</w:t>
      </w:r>
    </w:p>
    <w:p w:rsidR="00D90AB0" w:rsidRPr="00D90AB0" w:rsidRDefault="00D90AB0" w:rsidP="00D90AB0">
      <w:pPr>
        <w:rPr>
          <w:b/>
        </w:rPr>
      </w:pPr>
      <w:r w:rsidRPr="00D90AB0">
        <w:rPr>
          <w:b/>
        </w:rPr>
        <w:t>Inertie thermique des matériaux :</w:t>
      </w:r>
    </w:p>
    <w:p w:rsidR="00D90AB0" w:rsidRDefault="00D90AB0" w:rsidP="00BD75A7">
      <w:r>
        <w:t>On observera l’effet sur l’évolution de la température ambiante de la capacité thermique massique des différents matériaux de construction (isolation intérieure / extérieure, structure béton / bois ,…)</w:t>
      </w:r>
    </w:p>
    <w:p w:rsidR="00D90AB0" w:rsidRPr="00D90AB0" w:rsidRDefault="00D90AB0" w:rsidP="00BD75A7">
      <w:r>
        <w:t xml:space="preserve"> </w:t>
      </w:r>
    </w:p>
    <w:p w:rsidR="00BD75A7" w:rsidRPr="00D800F5" w:rsidRDefault="00BD75A7" w:rsidP="00BD75A7">
      <w:pPr>
        <w:rPr>
          <w:b/>
        </w:rPr>
      </w:pPr>
      <w:r w:rsidRPr="00D800F5">
        <w:rPr>
          <w:b/>
        </w:rPr>
        <w:t xml:space="preserve">Fusion / </w:t>
      </w:r>
      <w:r>
        <w:rPr>
          <w:b/>
        </w:rPr>
        <w:t>changement de phase</w:t>
      </w:r>
      <w:r w:rsidRPr="00D800F5">
        <w:rPr>
          <w:b/>
        </w:rPr>
        <w:t> :</w:t>
      </w:r>
    </w:p>
    <w:p w:rsidR="00BD75A7" w:rsidRDefault="00BD75A7" w:rsidP="00BD75A7">
      <w:r>
        <w:t>On évoquera ces transferts à travers les matériaux à changement de phase, le stockage « d’énergie latente ».</w:t>
      </w:r>
      <w:r w:rsidR="00D90AB0">
        <w:t xml:space="preserve"> Ces matériaux permettent d’augmenter l’inertie thermique des parois et permettent un stockage d’énergie.</w:t>
      </w:r>
    </w:p>
    <w:p w:rsidR="00BD75A7" w:rsidRPr="00BD75A7" w:rsidRDefault="00BD75A7" w:rsidP="00BD75A7"/>
    <w:p w:rsidR="00604645" w:rsidRDefault="00EF6BB4" w:rsidP="00604645">
      <w:pPr>
        <w:pStyle w:val="Titre2"/>
      </w:pPr>
      <w:r w:rsidRPr="00EF6BB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6.55pt;margin-top:-7.7pt;width:236.5pt;height:142.4pt;z-index:251663360">
            <v:imagedata r:id="rId13" o:title=""/>
            <w10:wrap type="square"/>
          </v:shape>
          <o:OLEObject Type="Embed" ProgID="Visio.Drawing.11" ShapeID="_x0000_s1027" DrawAspect="Content" ObjectID="_1381839439" r:id="rId14"/>
        </w:pict>
      </w:r>
      <w:r w:rsidR="00604645">
        <w:t>Bilan quantifié du transfert de chaleur :</w:t>
      </w:r>
    </w:p>
    <w:p w:rsidR="00604645" w:rsidRPr="000A1220" w:rsidRDefault="00604645" w:rsidP="00604645">
      <w:pPr>
        <w:rPr>
          <w:i/>
        </w:rPr>
      </w:pPr>
      <w:r w:rsidRPr="000A1220">
        <w:rPr>
          <w:i/>
        </w:rPr>
        <w:t>on se limitera au cas de la paroi plane : (</w:t>
      </w:r>
      <w:r>
        <w:rPr>
          <w:i/>
        </w:rPr>
        <w:t>étude de cas conseillée : un</w:t>
      </w:r>
      <w:r w:rsidRPr="000A1220">
        <w:rPr>
          <w:i/>
        </w:rPr>
        <w:t xml:space="preserve"> mur extérieur d’un bâtiment)</w:t>
      </w:r>
    </w:p>
    <w:p w:rsidR="00604645" w:rsidRDefault="00604645" w:rsidP="00604645"/>
    <w:p w:rsidR="00604645" w:rsidRDefault="00604645" w:rsidP="00604645">
      <w:pPr>
        <w:pStyle w:val="Titre3"/>
      </w:pPr>
      <w:r>
        <w:t>Définition de la conductivité thermique des matériaux, classement des matériaux</w:t>
      </w:r>
    </w:p>
    <w:p w:rsidR="00604645" w:rsidRPr="00CA09BE" w:rsidRDefault="00604645" w:rsidP="00604645">
      <w:r>
        <w:t>Conductivité : aptitude d’un corps immobile à conduire la chaleur. Puissance perdue en Watt (W) pour 1 m d’épaisseur et par m² de surface (m</w:t>
      </w:r>
      <w:r>
        <w:rPr>
          <w:vertAlign w:val="superscript"/>
        </w:rPr>
        <w:t>-1</w:t>
      </w:r>
      <w:r>
        <w:t>), pour 1 degré d’écart entre les faces (K</w:t>
      </w:r>
      <w:r>
        <w:rPr>
          <w:vertAlign w:val="superscript"/>
        </w:rPr>
        <w:t>-1</w:t>
      </w:r>
      <w:r>
        <w:t>)</w:t>
      </w:r>
    </w:p>
    <w:p w:rsidR="00604645" w:rsidRDefault="00604645" w:rsidP="00604645">
      <w:pPr>
        <w:pStyle w:val="Paragraphedeliste"/>
        <w:numPr>
          <w:ilvl w:val="0"/>
          <w:numId w:val="2"/>
        </w:numPr>
        <w:spacing w:after="200" w:line="276" w:lineRule="auto"/>
        <w:jc w:val="left"/>
      </w:pPr>
      <w:r>
        <w:t xml:space="preserve">Les métaux : très bons conducteurs thermiques, à rapprocher des propriétés électriques (mouvement d’électrons). </w:t>
      </w:r>
      <w:r>
        <w:sym w:font="Symbol" w:char="F06C"/>
      </w:r>
      <w:r>
        <w:rPr>
          <w:vertAlign w:val="subscript"/>
        </w:rPr>
        <w:t>alu</w:t>
      </w:r>
      <w:r>
        <w:t xml:space="preserve"> = 237W.m</w:t>
      </w:r>
      <w:r>
        <w:rPr>
          <w:vertAlign w:val="superscript"/>
        </w:rPr>
        <w:t>-1</w:t>
      </w:r>
      <w:r>
        <w:t>.K</w:t>
      </w:r>
      <w:r>
        <w:rPr>
          <w:vertAlign w:val="superscript"/>
        </w:rPr>
        <w:t>-1</w:t>
      </w:r>
      <w:r>
        <w:t xml:space="preserve"> </w:t>
      </w:r>
    </w:p>
    <w:p w:rsidR="00604645" w:rsidRDefault="00604645" w:rsidP="00604645">
      <w:pPr>
        <w:pStyle w:val="Paragraphedeliste"/>
        <w:numPr>
          <w:ilvl w:val="0"/>
          <w:numId w:val="2"/>
        </w:numPr>
        <w:spacing w:after="200" w:line="276" w:lineRule="auto"/>
        <w:jc w:val="left"/>
      </w:pPr>
      <w:r>
        <w:t>Les matériaux minéraux, pierres, bétons, verres : bon conducteurs de chaleur, ne permettent pas d’isoler,</w:t>
      </w:r>
    </w:p>
    <w:p w:rsidR="00604645" w:rsidRDefault="00604645" w:rsidP="00604645">
      <w:pPr>
        <w:pStyle w:val="Paragraphedeliste"/>
        <w:numPr>
          <w:ilvl w:val="0"/>
          <w:numId w:val="2"/>
        </w:numPr>
        <w:spacing w:after="200" w:line="276" w:lineRule="auto"/>
        <w:jc w:val="left"/>
      </w:pPr>
      <w:r>
        <w:t>Les matériaux organiques : bois, plastiques, conducteurs de chaleurs « modestes »</w:t>
      </w:r>
    </w:p>
    <w:p w:rsidR="00604645" w:rsidRDefault="00604645" w:rsidP="00604645">
      <w:pPr>
        <w:pStyle w:val="Paragraphedeliste"/>
        <w:numPr>
          <w:ilvl w:val="0"/>
          <w:numId w:val="2"/>
        </w:numPr>
        <w:spacing w:after="200" w:line="276" w:lineRule="auto"/>
        <w:jc w:val="left"/>
      </w:pPr>
      <w:r>
        <w:t xml:space="preserve">Les matériaux isolants (conductivité inférieure à </w:t>
      </w:r>
      <w:r>
        <w:sym w:font="Symbol" w:char="F06C"/>
      </w:r>
      <w:r>
        <w:t xml:space="preserve"> = 0,06 W.m</w:t>
      </w:r>
      <w:r>
        <w:rPr>
          <w:vertAlign w:val="superscript"/>
        </w:rPr>
        <w:t>-1</w:t>
      </w:r>
      <w:r>
        <w:t>.K</w:t>
      </w:r>
      <w:r>
        <w:rPr>
          <w:vertAlign w:val="superscript"/>
        </w:rPr>
        <w:t>-1</w:t>
      </w:r>
      <w:r>
        <w:t xml:space="preserve">) légers, contiennent beaucoup d’air ou de gaz immobilisé. (air immobile, excellent isolant : </w:t>
      </w:r>
      <w:r>
        <w:sym w:font="Symbol" w:char="F06C"/>
      </w:r>
      <w:r>
        <w:t xml:space="preserve"> = 0,026W.m</w:t>
      </w:r>
      <w:r>
        <w:rPr>
          <w:vertAlign w:val="superscript"/>
        </w:rPr>
        <w:t>-1</w:t>
      </w:r>
      <w:r>
        <w:t>.K</w:t>
      </w:r>
      <w:r>
        <w:rPr>
          <w:vertAlign w:val="superscript"/>
        </w:rPr>
        <w:t>-1</w:t>
      </w:r>
      <w:r>
        <w:t xml:space="preserve"> à 20°C)</w:t>
      </w:r>
    </w:p>
    <w:p w:rsidR="00604645" w:rsidRDefault="00EF6BB4" w:rsidP="00604645">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349.45pt;margin-top:8.2pt;width:145.55pt;height:18.35pt;z-index:251661312">
            <v:textbox>
              <w:txbxContent>
                <w:p w:rsidR="00604645" w:rsidRPr="00A12F5C" w:rsidRDefault="00604645" w:rsidP="00604645">
                  <w:pPr>
                    <w:rPr>
                      <w:sz w:val="16"/>
                    </w:rPr>
                  </w:pPr>
                  <w:r w:rsidRPr="00A12F5C">
                    <w:rPr>
                      <w:sz w:val="16"/>
                    </w:rPr>
                    <w:t>À Résistance thermique équivalente</w:t>
                  </w:r>
                </w:p>
              </w:txbxContent>
            </v:textbox>
            <w10:wrap type="square"/>
          </v:shape>
        </w:pict>
      </w:r>
      <w:r w:rsidR="00604645">
        <w:t>Résistance thermique de conduction : aptitude à s’opposer au passage de la chaleur :</w:t>
      </w:r>
    </w:p>
    <w:p w:rsidR="00604645" w:rsidRDefault="00604645" w:rsidP="00604645">
      <w:r>
        <w:rPr>
          <w:noProof/>
          <w:lang w:eastAsia="fr-FR"/>
        </w:rPr>
        <w:drawing>
          <wp:anchor distT="0" distB="0" distL="114300" distR="114300" simplePos="0" relativeHeight="251660288" behindDoc="0" locked="0" layoutInCell="1" allowOverlap="1">
            <wp:simplePos x="0" y="0"/>
            <wp:positionH relativeFrom="column">
              <wp:posOffset>4473575</wp:posOffset>
            </wp:positionH>
            <wp:positionV relativeFrom="paragraph">
              <wp:posOffset>208915</wp:posOffset>
            </wp:positionV>
            <wp:extent cx="1896110" cy="1287780"/>
            <wp:effectExtent l="19050" t="0" r="8890" b="0"/>
            <wp:wrapSquare wrapText="bothSides"/>
            <wp:docPr id="6" name="Image 4"/>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5" cstate="print"/>
                    <a:srcRect/>
                    <a:stretch>
                      <a:fillRect/>
                    </a:stretch>
                  </pic:blipFill>
                  <pic:spPr bwMode="auto">
                    <a:xfrm>
                      <a:off x="0" y="0"/>
                      <a:ext cx="1896110" cy="1287780"/>
                    </a:xfrm>
                    <a:prstGeom prst="rect">
                      <a:avLst/>
                    </a:prstGeom>
                    <a:noFill/>
                    <a:ln w="9525">
                      <a:noFill/>
                      <a:miter lim="800000"/>
                      <a:headEnd/>
                      <a:tailEnd/>
                    </a:ln>
                  </pic:spPr>
                </pic:pic>
              </a:graphicData>
            </a:graphic>
          </wp:anchor>
        </w:drawing>
      </w:r>
      <w:r>
        <w:t xml:space="preserve">R= e/ </w:t>
      </w:r>
      <w:r>
        <w:sym w:font="Symbol" w:char="F06C"/>
      </w:r>
      <w:r>
        <w:t xml:space="preserve"> en m².K W</w:t>
      </w:r>
      <w:r>
        <w:rPr>
          <w:vertAlign w:val="superscript"/>
        </w:rPr>
        <w:t>-1</w:t>
      </w:r>
      <w:r>
        <w:t xml:space="preserve">, e : épaisseur du matériau, R : résistance thermique, </w:t>
      </w:r>
      <w:r>
        <w:sym w:font="Symbol" w:char="F06C"/>
      </w:r>
      <w:r>
        <w:t xml:space="preserve"> conductivité.</w:t>
      </w:r>
    </w:p>
    <w:p w:rsidR="00604645" w:rsidRDefault="00604645" w:rsidP="00604645">
      <w:pPr>
        <w:pStyle w:val="Titre3"/>
      </w:pPr>
      <w:r>
        <w:t>Échange de chaleur par conduction :</w:t>
      </w:r>
    </w:p>
    <w:p w:rsidR="00604645" w:rsidRPr="00AC50E4" w:rsidRDefault="00604645" w:rsidP="00604645">
      <w:r>
        <w:t xml:space="preserve">Flux de chaleur : </w:t>
      </w:r>
      <m:oMath>
        <m:r>
          <m:rPr>
            <m:sty m:val="p"/>
          </m:rPr>
          <w:rPr>
            <w:rFonts w:ascii="Cambria Math" w:hAnsi="Cambria Math"/>
          </w:rPr>
          <m:t>Φ</m:t>
        </m:r>
        <m:r>
          <w:rPr>
            <w:rFonts w:ascii="Cambria Math" w:hAnsi="Cambria Math"/>
          </w:rPr>
          <m:t>=</m:t>
        </m:r>
        <m:f>
          <m:fPr>
            <m:ctrlPr>
              <w:rPr>
                <w:rFonts w:ascii="Cambria Math" w:hAnsi="Cambria Math" w:cstheme="minorBidi"/>
                <w:i/>
                <w:sz w:val="22"/>
                <w:szCs w:val="22"/>
              </w:rPr>
            </m:ctrlPr>
          </m:fPr>
          <m:num>
            <m:r>
              <w:rPr>
                <w:rFonts w:ascii="Cambria Math" w:hAnsi="Cambria Math"/>
              </w:rPr>
              <m:t>A ×(</m:t>
            </m:r>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e</m:t>
                </m:r>
              </m:sub>
            </m:sSub>
            <m:r>
              <w:rPr>
                <w:rFonts w:ascii="Cambria Math" w:hAnsi="Cambria Math"/>
              </w:rPr>
              <m:t>)</m:t>
            </m:r>
          </m:num>
          <m:den>
            <m:r>
              <w:rPr>
                <w:rFonts w:ascii="Cambria Math" w:hAnsi="Cambria Math"/>
              </w:rPr>
              <m:t>R</m:t>
            </m:r>
          </m:den>
        </m:f>
      </m:oMath>
      <w:r>
        <w:rPr>
          <w:rFonts w:eastAsiaTheme="minorEastAsia"/>
        </w:rPr>
        <w:t xml:space="preserve"> [W], avec A : aire de passage de la chaleur (m²), R : résistance thermique (m².KW</w:t>
      </w:r>
      <w:r>
        <w:rPr>
          <w:rFonts w:eastAsiaTheme="minorEastAsia"/>
          <w:vertAlign w:val="superscript"/>
        </w:rPr>
        <w:t>-1</w:t>
      </w:r>
      <w:r>
        <w:rPr>
          <w:rFonts w:eastAsiaTheme="minorEastAsia"/>
        </w:rPr>
        <w:t xml:space="preserve">) et </w:t>
      </w:r>
      <w:r>
        <w:rPr>
          <w:rFonts w:eastAsiaTheme="minorEastAsia"/>
        </w:rPr>
        <w:sym w:font="Symbol" w:char="F071"/>
      </w:r>
      <w:r>
        <w:rPr>
          <w:rFonts w:eastAsiaTheme="minorEastAsia"/>
        </w:rPr>
        <w:t> : températures (°C).</w:t>
      </w:r>
    </w:p>
    <w:p w:rsidR="00604645" w:rsidRPr="000A1220" w:rsidRDefault="00604645" w:rsidP="00604645">
      <w:pPr>
        <w:pStyle w:val="Sansinterligne"/>
      </w:pPr>
      <w:r>
        <w:t xml:space="preserve">Exemple </w:t>
      </w:r>
      <w:r w:rsidRPr="000A1220">
        <w:t>: calcul du flux</w:t>
      </w:r>
      <w:r>
        <w:t xml:space="preserve"> </w:t>
      </w:r>
      <w:r w:rsidRPr="000A1220">
        <w:t>à travers 1m² de paroi</w:t>
      </w:r>
      <w:r>
        <w:t xml:space="preserve"> pour </w:t>
      </w:r>
      <w:r w:rsidRPr="000A1220">
        <w:t>10 cm d'épaisseur</w:t>
      </w:r>
      <w:r>
        <w:t xml:space="preserve"> et des</w:t>
      </w:r>
      <w:r w:rsidRPr="000A1220">
        <w:t xml:space="preserve"> températures de surface de paroi : 5°C à l'extérieur et 15°C à l'intérieur</w:t>
      </w:r>
    </w:p>
    <w:tbl>
      <w:tblPr>
        <w:tblW w:w="5000" w:type="pct"/>
        <w:tblCellMar>
          <w:left w:w="0" w:type="dxa"/>
          <w:right w:w="0" w:type="dxa"/>
        </w:tblCellMar>
        <w:tblLook w:val="04A0"/>
      </w:tblPr>
      <w:tblGrid>
        <w:gridCol w:w="1710"/>
        <w:gridCol w:w="2791"/>
        <w:gridCol w:w="2636"/>
        <w:gridCol w:w="2789"/>
      </w:tblGrid>
      <w:tr w:rsidR="00604645" w:rsidRPr="00AC50E4" w:rsidTr="000722F0">
        <w:trPr>
          <w:trHeight w:hRule="exact" w:val="340"/>
        </w:trPr>
        <w:tc>
          <w:tcPr>
            <w:tcW w:w="861" w:type="pct"/>
            <w:tcBorders>
              <w:top w:val="single" w:sz="8" w:space="0" w:color="FFFFFF"/>
              <w:left w:val="single" w:sz="8" w:space="0" w:color="FFFFFF"/>
              <w:bottom w:val="single" w:sz="24" w:space="0" w:color="FFFFFF"/>
              <w:right w:val="single" w:sz="8" w:space="0" w:color="FFFFFF"/>
            </w:tcBorders>
            <w:shd w:val="clear" w:color="auto" w:fill="8D9F77"/>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b/>
                <w:bCs/>
                <w:sz w:val="18"/>
              </w:rPr>
              <w:t>Matériau</w:t>
            </w:r>
          </w:p>
        </w:tc>
        <w:tc>
          <w:tcPr>
            <w:tcW w:w="1406" w:type="pct"/>
            <w:tcBorders>
              <w:top w:val="single" w:sz="8" w:space="0" w:color="FFFFFF"/>
              <w:left w:val="single" w:sz="8" w:space="0" w:color="FFFFFF"/>
              <w:bottom w:val="single" w:sz="24" w:space="0" w:color="FFFFFF"/>
              <w:right w:val="single" w:sz="8" w:space="0" w:color="FFFFFF"/>
            </w:tcBorders>
            <w:shd w:val="clear" w:color="auto" w:fill="8D9F77"/>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b/>
                <w:bCs/>
                <w:sz w:val="18"/>
              </w:rPr>
              <w:t>Conductivité W. m</w:t>
            </w:r>
            <w:r w:rsidRPr="00AC50E4">
              <w:rPr>
                <w:b/>
                <w:bCs/>
                <w:sz w:val="18"/>
                <w:vertAlign w:val="superscript"/>
              </w:rPr>
              <w:t>-1</w:t>
            </w:r>
            <w:r w:rsidRPr="00AC50E4">
              <w:rPr>
                <w:b/>
                <w:bCs/>
                <w:sz w:val="18"/>
              </w:rPr>
              <w:t>. K</w:t>
            </w:r>
            <w:r w:rsidRPr="00AC50E4">
              <w:rPr>
                <w:b/>
                <w:bCs/>
                <w:sz w:val="18"/>
                <w:vertAlign w:val="superscript"/>
              </w:rPr>
              <w:t>-1</w:t>
            </w:r>
          </w:p>
        </w:tc>
        <w:tc>
          <w:tcPr>
            <w:tcW w:w="1328" w:type="pct"/>
            <w:tcBorders>
              <w:top w:val="single" w:sz="8" w:space="0" w:color="FFFFFF"/>
              <w:left w:val="single" w:sz="8" w:space="0" w:color="FFFFFF"/>
              <w:bottom w:val="single" w:sz="24" w:space="0" w:color="FFFFFF"/>
              <w:right w:val="single" w:sz="8" w:space="0" w:color="FFFFFF"/>
            </w:tcBorders>
            <w:shd w:val="clear" w:color="auto" w:fill="8D9F77"/>
            <w:tcMar>
              <w:top w:w="72" w:type="dxa"/>
              <w:left w:w="144" w:type="dxa"/>
              <w:bottom w:w="72" w:type="dxa"/>
              <w:right w:w="144" w:type="dxa"/>
            </w:tcMar>
            <w:hideMark/>
          </w:tcPr>
          <w:p w:rsidR="00604645" w:rsidRPr="003A414F" w:rsidRDefault="00604645" w:rsidP="000722F0">
            <w:pPr>
              <w:rPr>
                <w:sz w:val="18"/>
                <w:lang w:val="en-US"/>
              </w:rPr>
            </w:pPr>
            <w:r w:rsidRPr="003A414F">
              <w:rPr>
                <w:b/>
                <w:bCs/>
                <w:sz w:val="18"/>
                <w:lang w:val="en-US"/>
              </w:rPr>
              <w:t>R thermique m².K . W</w:t>
            </w:r>
            <w:r w:rsidRPr="003A414F">
              <w:rPr>
                <w:b/>
                <w:bCs/>
                <w:sz w:val="18"/>
                <w:vertAlign w:val="superscript"/>
                <w:lang w:val="en-US"/>
              </w:rPr>
              <w:t>-1</w:t>
            </w:r>
            <w:r w:rsidRPr="003A414F">
              <w:rPr>
                <w:b/>
                <w:bCs/>
                <w:sz w:val="18"/>
                <w:lang w:val="en-US"/>
              </w:rPr>
              <w:t xml:space="preserve"> </w:t>
            </w:r>
          </w:p>
        </w:tc>
        <w:tc>
          <w:tcPr>
            <w:tcW w:w="1405" w:type="pct"/>
            <w:tcBorders>
              <w:top w:val="single" w:sz="8" w:space="0" w:color="FFFFFF"/>
              <w:left w:val="single" w:sz="8" w:space="0" w:color="FFFFFF"/>
              <w:bottom w:val="single" w:sz="24" w:space="0" w:color="FFFFFF"/>
              <w:right w:val="single" w:sz="8" w:space="0" w:color="FFFFFF"/>
            </w:tcBorders>
            <w:shd w:val="clear" w:color="auto" w:fill="8D9F77"/>
            <w:tcMar>
              <w:top w:w="72" w:type="dxa"/>
              <w:left w:w="144" w:type="dxa"/>
              <w:bottom w:w="72" w:type="dxa"/>
              <w:right w:w="144" w:type="dxa"/>
            </w:tcMar>
            <w:hideMark/>
          </w:tcPr>
          <w:p w:rsidR="00604645" w:rsidRPr="00AC50E4" w:rsidRDefault="00604645" w:rsidP="000722F0">
            <w:pPr>
              <w:rPr>
                <w:sz w:val="18"/>
              </w:rPr>
            </w:pPr>
            <w:r w:rsidRPr="00AC50E4">
              <w:rPr>
                <w:b/>
                <w:bCs/>
                <w:sz w:val="18"/>
              </w:rPr>
              <w:t>Flux de chaleur W/m²</w:t>
            </w:r>
          </w:p>
        </w:tc>
      </w:tr>
      <w:tr w:rsidR="00604645" w:rsidRPr="00AC50E4" w:rsidTr="000722F0">
        <w:trPr>
          <w:trHeight w:hRule="exact" w:val="340"/>
        </w:trPr>
        <w:tc>
          <w:tcPr>
            <w:tcW w:w="861" w:type="pct"/>
            <w:tcBorders>
              <w:top w:val="single" w:sz="24"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rPr>
                <w:sz w:val="18"/>
              </w:rPr>
            </w:pPr>
            <w:r w:rsidRPr="00AC50E4">
              <w:rPr>
                <w:sz w:val="18"/>
              </w:rPr>
              <w:t xml:space="preserve">Aluminium </w:t>
            </w:r>
          </w:p>
        </w:tc>
        <w:tc>
          <w:tcPr>
            <w:tcW w:w="1406" w:type="pct"/>
            <w:tcBorders>
              <w:top w:val="single" w:sz="24"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204 </w:t>
            </w:r>
          </w:p>
        </w:tc>
        <w:tc>
          <w:tcPr>
            <w:tcW w:w="1328" w:type="pct"/>
            <w:tcBorders>
              <w:top w:val="single" w:sz="24"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0,005 </w:t>
            </w:r>
          </w:p>
        </w:tc>
        <w:tc>
          <w:tcPr>
            <w:tcW w:w="1405" w:type="pct"/>
            <w:tcBorders>
              <w:top w:val="single" w:sz="24"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20400 </w:t>
            </w:r>
          </w:p>
        </w:tc>
      </w:tr>
      <w:tr w:rsidR="00604645" w:rsidRPr="00AC50E4" w:rsidTr="000722F0">
        <w:trPr>
          <w:trHeight w:hRule="exact" w:val="340"/>
        </w:trPr>
        <w:tc>
          <w:tcPr>
            <w:tcW w:w="861"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rPr>
                <w:sz w:val="18"/>
              </w:rPr>
            </w:pPr>
            <w:r w:rsidRPr="00AC50E4">
              <w:rPr>
                <w:sz w:val="18"/>
              </w:rPr>
              <w:t xml:space="preserve">Béton plein </w:t>
            </w:r>
          </w:p>
        </w:tc>
        <w:tc>
          <w:tcPr>
            <w:tcW w:w="1406"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1,75 </w:t>
            </w:r>
          </w:p>
        </w:tc>
        <w:tc>
          <w:tcPr>
            <w:tcW w:w="1328"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0,006 </w:t>
            </w:r>
          </w:p>
        </w:tc>
        <w:tc>
          <w:tcPr>
            <w:tcW w:w="1405"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175 </w:t>
            </w:r>
          </w:p>
        </w:tc>
      </w:tr>
      <w:tr w:rsidR="00604645" w:rsidRPr="00AC50E4" w:rsidTr="000722F0">
        <w:trPr>
          <w:trHeight w:hRule="exact" w:val="340"/>
        </w:trPr>
        <w:tc>
          <w:tcPr>
            <w:tcW w:w="861" w:type="pct"/>
            <w:tcBorders>
              <w:top w:val="single" w:sz="8"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rPr>
                <w:sz w:val="18"/>
              </w:rPr>
            </w:pPr>
            <w:r w:rsidRPr="00AC50E4">
              <w:rPr>
                <w:sz w:val="18"/>
              </w:rPr>
              <w:t xml:space="preserve">Bois résineux </w:t>
            </w:r>
          </w:p>
        </w:tc>
        <w:tc>
          <w:tcPr>
            <w:tcW w:w="1406" w:type="pct"/>
            <w:tcBorders>
              <w:top w:val="single" w:sz="8"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0,15 </w:t>
            </w:r>
          </w:p>
        </w:tc>
        <w:tc>
          <w:tcPr>
            <w:tcW w:w="1328" w:type="pct"/>
            <w:tcBorders>
              <w:top w:val="single" w:sz="8"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0,7 </w:t>
            </w:r>
          </w:p>
        </w:tc>
        <w:tc>
          <w:tcPr>
            <w:tcW w:w="1405" w:type="pct"/>
            <w:tcBorders>
              <w:top w:val="single" w:sz="8" w:space="0" w:color="FFFFFF"/>
              <w:left w:val="single" w:sz="8" w:space="0" w:color="FFFFFF"/>
              <w:bottom w:val="single" w:sz="8" w:space="0" w:color="FFFFFF"/>
              <w:right w:val="single" w:sz="8" w:space="0" w:color="FFFFFF"/>
            </w:tcBorders>
            <w:shd w:val="clear" w:color="auto" w:fill="DBDFD6"/>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15 </w:t>
            </w:r>
          </w:p>
        </w:tc>
      </w:tr>
      <w:tr w:rsidR="00604645" w:rsidRPr="00AC50E4" w:rsidTr="000722F0">
        <w:trPr>
          <w:trHeight w:hRule="exact" w:val="340"/>
        </w:trPr>
        <w:tc>
          <w:tcPr>
            <w:tcW w:w="861"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rPr>
                <w:sz w:val="18"/>
              </w:rPr>
            </w:pPr>
            <w:r w:rsidRPr="00AC50E4">
              <w:rPr>
                <w:sz w:val="18"/>
              </w:rPr>
              <w:t>Laine de verre (15kg/m</w:t>
            </w:r>
            <w:r w:rsidRPr="00AC50E4">
              <w:rPr>
                <w:sz w:val="18"/>
                <w:vertAlign w:val="superscript"/>
              </w:rPr>
              <w:t>3</w:t>
            </w:r>
            <w:r w:rsidRPr="00AC50E4">
              <w:rPr>
                <w:sz w:val="18"/>
              </w:rPr>
              <w:t xml:space="preserve">) </w:t>
            </w:r>
          </w:p>
        </w:tc>
        <w:tc>
          <w:tcPr>
            <w:tcW w:w="1406"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0,041 </w:t>
            </w:r>
          </w:p>
        </w:tc>
        <w:tc>
          <w:tcPr>
            <w:tcW w:w="1328"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2,4 </w:t>
            </w:r>
          </w:p>
        </w:tc>
        <w:tc>
          <w:tcPr>
            <w:tcW w:w="1405" w:type="pct"/>
            <w:tcBorders>
              <w:top w:val="single" w:sz="8" w:space="0" w:color="FFFFFF"/>
              <w:left w:val="single" w:sz="8" w:space="0" w:color="FFFFFF"/>
              <w:bottom w:val="single" w:sz="8" w:space="0" w:color="FFFFFF"/>
              <w:right w:val="single" w:sz="8" w:space="0" w:color="FFFFFF"/>
            </w:tcBorders>
            <w:shd w:val="clear" w:color="auto" w:fill="EEF0EC"/>
            <w:tcMar>
              <w:top w:w="72" w:type="dxa"/>
              <w:left w:w="144" w:type="dxa"/>
              <w:bottom w:w="72" w:type="dxa"/>
              <w:right w:w="144" w:type="dxa"/>
            </w:tcMar>
            <w:hideMark/>
          </w:tcPr>
          <w:p w:rsidR="00604645" w:rsidRPr="00AC50E4" w:rsidRDefault="00604645" w:rsidP="000722F0">
            <w:pPr>
              <w:spacing w:after="200" w:line="276" w:lineRule="auto"/>
              <w:jc w:val="left"/>
              <w:rPr>
                <w:sz w:val="18"/>
              </w:rPr>
            </w:pPr>
            <w:r w:rsidRPr="00AC50E4">
              <w:rPr>
                <w:sz w:val="18"/>
              </w:rPr>
              <w:t xml:space="preserve">4 </w:t>
            </w:r>
          </w:p>
        </w:tc>
      </w:tr>
    </w:tbl>
    <w:p w:rsidR="00604645" w:rsidRDefault="00604645" w:rsidP="00604645"/>
    <w:p w:rsidR="00604645" w:rsidRDefault="00604645" w:rsidP="00604645">
      <w:pPr>
        <w:pStyle w:val="Titre3"/>
      </w:pPr>
      <w:r>
        <w:t>Échange de chaleur par convection et rayonnement :</w:t>
      </w:r>
    </w:p>
    <w:p w:rsidR="00604645" w:rsidRDefault="00604645" w:rsidP="00604645">
      <w:r>
        <w:t xml:space="preserve">Remarques : </w:t>
      </w:r>
    </w:p>
    <w:p w:rsidR="00604645" w:rsidRDefault="00604645" w:rsidP="00604645">
      <w:pPr>
        <w:pStyle w:val="Paragraphedeliste"/>
        <w:numPr>
          <w:ilvl w:val="0"/>
          <w:numId w:val="2"/>
        </w:numPr>
        <w:spacing w:after="200" w:line="276" w:lineRule="auto"/>
        <w:jc w:val="left"/>
      </w:pPr>
      <w:r>
        <w:t>Seuls seront présentés aux élèves les coefficients linéarisés globaux d’échange par convection et rayonnement « h » (W.m</w:t>
      </w:r>
      <w:r>
        <w:rPr>
          <w:vertAlign w:val="superscript"/>
        </w:rPr>
        <w:t>-2</w:t>
      </w:r>
      <w:r>
        <w:t>.K</w:t>
      </w:r>
      <w:r>
        <w:rPr>
          <w:vertAlign w:val="superscript"/>
        </w:rPr>
        <w:t>-1</w:t>
      </w:r>
      <w:r>
        <w:t>), ou bien les résistances superficielles de convection et rayonnement R</w:t>
      </w:r>
      <w:r>
        <w:rPr>
          <w:vertAlign w:val="subscript"/>
        </w:rPr>
        <w:t xml:space="preserve">si </w:t>
      </w:r>
      <w:r>
        <w:t xml:space="preserve"> et R</w:t>
      </w:r>
      <w:r>
        <w:rPr>
          <w:vertAlign w:val="subscript"/>
        </w:rPr>
        <w:t>se</w:t>
      </w:r>
      <w:r>
        <w:t xml:space="preserve"> (m².K.W</w:t>
      </w:r>
      <w:r>
        <w:rPr>
          <w:vertAlign w:val="superscript"/>
        </w:rPr>
        <w:t>-1</w:t>
      </w:r>
      <w:r>
        <w:t>)</w:t>
      </w:r>
    </w:p>
    <w:p w:rsidR="00604645" w:rsidRPr="00BD75A7" w:rsidRDefault="00604645" w:rsidP="00604645">
      <w:pPr>
        <w:pStyle w:val="Paragraphedeliste"/>
        <w:numPr>
          <w:ilvl w:val="0"/>
          <w:numId w:val="2"/>
        </w:numPr>
        <w:spacing w:after="200" w:line="276" w:lineRule="auto"/>
        <w:jc w:val="left"/>
        <w:rPr>
          <w:b/>
        </w:rPr>
      </w:pPr>
      <w:r w:rsidRPr="00BD75A7">
        <w:rPr>
          <w:b/>
        </w:rPr>
        <w:t xml:space="preserve">on n’abordera pas le calcul des coefficients d’échange par convection faisant appel aux nombres sans dimension (Reynolds, Prandtl, Grashof etc…), </w:t>
      </w:r>
    </w:p>
    <w:p w:rsidR="00604645" w:rsidRPr="00BD75A7" w:rsidRDefault="00604645" w:rsidP="00604645">
      <w:pPr>
        <w:pStyle w:val="Paragraphedeliste"/>
        <w:numPr>
          <w:ilvl w:val="0"/>
          <w:numId w:val="2"/>
        </w:numPr>
        <w:spacing w:after="200" w:line="276" w:lineRule="auto"/>
        <w:jc w:val="left"/>
        <w:rPr>
          <w:b/>
        </w:rPr>
      </w:pPr>
      <w:r w:rsidRPr="00BD75A7">
        <w:rPr>
          <w:b/>
        </w:rPr>
        <w:t>on ne présentera pas la loi de Stefan Boltzmann dans le cas du rayonnement</w:t>
      </w:r>
    </w:p>
    <w:p w:rsidR="00604645" w:rsidRDefault="00604645" w:rsidP="00604645">
      <w:pPr>
        <w:pStyle w:val="Paragraphedeliste"/>
        <w:numPr>
          <w:ilvl w:val="0"/>
          <w:numId w:val="2"/>
        </w:numPr>
        <w:spacing w:after="200" w:line="276" w:lineRule="auto"/>
        <w:jc w:val="left"/>
      </w:pPr>
      <w:r w:rsidRPr="00BD75A7">
        <w:rPr>
          <w:b/>
        </w:rPr>
        <w:t>on ne présentera pas le modèle des résistances thermiques en parallèle.</w:t>
      </w:r>
    </w:p>
    <w:p w:rsidR="00604645" w:rsidRDefault="00604645" w:rsidP="00604645">
      <w:r>
        <w:rPr>
          <w:noProof/>
          <w:lang w:eastAsia="fr-FR"/>
        </w:rPr>
        <w:drawing>
          <wp:anchor distT="0" distB="0" distL="114300" distR="114300" simplePos="0" relativeHeight="251662336" behindDoc="0" locked="0" layoutInCell="1" allowOverlap="1">
            <wp:simplePos x="0" y="0"/>
            <wp:positionH relativeFrom="column">
              <wp:posOffset>3150235</wp:posOffset>
            </wp:positionH>
            <wp:positionV relativeFrom="paragraph">
              <wp:posOffset>239395</wp:posOffset>
            </wp:positionV>
            <wp:extent cx="3184525" cy="3990975"/>
            <wp:effectExtent l="19050" t="0" r="0" b="0"/>
            <wp:wrapSquare wrapText="bothSides"/>
            <wp:docPr id="7" name="Image 3"/>
            <wp:cNvGraphicFramePr/>
            <a:graphic xmlns:a="http://schemas.openxmlformats.org/drawingml/2006/main">
              <a:graphicData uri="http://schemas.openxmlformats.org/drawingml/2006/picture">
                <pic:pic xmlns:pic="http://schemas.openxmlformats.org/drawingml/2006/picture">
                  <pic:nvPicPr>
                    <pic:cNvPr id="39939" name="Picture 2"/>
                    <pic:cNvPicPr>
                      <a:picLocks noChangeAspect="1" noChangeArrowheads="1"/>
                    </pic:cNvPicPr>
                  </pic:nvPicPr>
                  <pic:blipFill>
                    <a:blip r:embed="rId16" cstate="print"/>
                    <a:srcRect/>
                    <a:stretch>
                      <a:fillRect/>
                    </a:stretch>
                  </pic:blipFill>
                  <pic:spPr bwMode="auto">
                    <a:xfrm>
                      <a:off x="0" y="0"/>
                      <a:ext cx="3184525" cy="3990975"/>
                    </a:xfrm>
                    <a:prstGeom prst="rect">
                      <a:avLst/>
                    </a:prstGeom>
                    <a:noFill/>
                    <a:ln w="9525">
                      <a:noFill/>
                      <a:miter lim="800000"/>
                      <a:headEnd/>
                      <a:tailEnd/>
                    </a:ln>
                  </pic:spPr>
                </pic:pic>
              </a:graphicData>
            </a:graphic>
          </wp:anchor>
        </w:drawing>
      </w:r>
      <w:r>
        <w:t>Application de la même formule de calcul de flux avec R = 1/h.</w:t>
      </w:r>
    </w:p>
    <w:p w:rsidR="00604645" w:rsidRDefault="00604645" w:rsidP="00604645">
      <w:pPr>
        <w:pStyle w:val="Titre3"/>
      </w:pPr>
      <w:r>
        <w:t>Échange de chaleur global entre 2 ambiances :</w:t>
      </w:r>
    </w:p>
    <w:p w:rsidR="00604645" w:rsidRDefault="00604645" w:rsidP="00604645">
      <w:r>
        <w:t>Mise en évidence par le flux de chaleur :</w:t>
      </w:r>
    </w:p>
    <w:p w:rsidR="00604645" w:rsidRPr="00AC50E4" w:rsidRDefault="00604645" w:rsidP="00604645">
      <w:r>
        <w:t xml:space="preserve"> </w:t>
      </w:r>
      <m:oMath>
        <m:r>
          <m:rPr>
            <m:sty m:val="p"/>
          </m:rPr>
          <w:rPr>
            <w:rFonts w:ascii="Cambria Math" w:hAnsi="Cambria Math"/>
          </w:rPr>
          <m:t>Φ</m:t>
        </m:r>
        <m:r>
          <w:rPr>
            <w:rFonts w:ascii="Cambria Math" w:hAnsi="Cambria Math"/>
          </w:rPr>
          <m:t>=</m:t>
        </m:r>
        <m:f>
          <m:fPr>
            <m:ctrlPr>
              <w:rPr>
                <w:rFonts w:ascii="Cambria Math" w:hAnsi="Cambria Math" w:cstheme="minorBidi"/>
                <w:i/>
                <w:sz w:val="22"/>
                <w:szCs w:val="22"/>
              </w:rPr>
            </m:ctrlPr>
          </m:fPr>
          <m:num>
            <m:r>
              <w:rPr>
                <w:rFonts w:ascii="Cambria Math" w:hAnsi="Cambria Math"/>
              </w:rPr>
              <m:t>A ×(</m:t>
            </m:r>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e</m:t>
                </m:r>
              </m:sub>
            </m:sSub>
            <m:r>
              <w:rPr>
                <w:rFonts w:ascii="Cambria Math" w:hAnsi="Cambria Math"/>
              </w:rPr>
              <m:t>)</m:t>
            </m:r>
          </m:num>
          <m:den>
            <m:r>
              <w:rPr>
                <w:rFonts w:ascii="Cambria Math" w:hAnsi="Cambria Math"/>
              </w:rPr>
              <m:t>R</m:t>
            </m:r>
          </m:den>
        </m:f>
      </m:oMath>
      <w:r>
        <w:rPr>
          <w:rFonts w:eastAsiaTheme="minorEastAsia"/>
        </w:rPr>
        <w:t xml:space="preserve"> [W].</w:t>
      </w:r>
    </w:p>
    <w:p w:rsidR="00604645" w:rsidRDefault="00604645" w:rsidP="00604645">
      <w:pPr>
        <w:rPr>
          <w:rFonts w:eastAsiaTheme="minorEastAsia"/>
        </w:rPr>
      </w:pPr>
      <w:r>
        <w:t xml:space="preserve">Résistance thermique globale : </w:t>
      </w:r>
    </w:p>
    <w:p w:rsidR="00604645" w:rsidRPr="003A414F" w:rsidRDefault="00604645" w:rsidP="00604645">
      <w:pPr>
        <w:rPr>
          <w:lang w:val="en-US"/>
        </w:rPr>
      </w:pPr>
      <m:oMath>
        <m:r>
          <w:rPr>
            <w:rFonts w:ascii="Cambria Math" w:hAnsi="Cambria Math"/>
          </w:rPr>
          <m:t>R</m:t>
        </m:r>
        <m:r>
          <w:rPr>
            <w:rFonts w:ascii="Cambria Math" w:hAnsi="Cambria Math"/>
            <w:lang w:val="en-US"/>
          </w:rPr>
          <m:t xml:space="preserve"> = </m:t>
        </m:r>
        <m:f>
          <m:fPr>
            <m:ctrlPr>
              <w:rPr>
                <w:rFonts w:ascii="Cambria Math" w:hAnsi="Cambria Math" w:cstheme="minorBidi"/>
                <w:i/>
                <w:sz w:val="22"/>
                <w:szCs w:val="22"/>
              </w:rPr>
            </m:ctrlPr>
          </m:fPr>
          <m:num>
            <m:r>
              <w:rPr>
                <w:rFonts w:ascii="Cambria Math" w:hAnsi="Cambria Math"/>
                <w:lang w:val="en-US"/>
              </w:rPr>
              <m:t>1</m:t>
            </m:r>
          </m:num>
          <m:den>
            <m:sSub>
              <m:sSubPr>
                <m:ctrlPr>
                  <w:rPr>
                    <w:rFonts w:ascii="Cambria Math" w:hAnsi="Cambria Math"/>
                    <w:i/>
                  </w:rPr>
                </m:ctrlPr>
              </m:sSubPr>
              <m:e>
                <m:r>
                  <w:rPr>
                    <w:rFonts w:ascii="Cambria Math" w:hAnsi="Cambria Math"/>
                    <w:lang w:val="en-US"/>
                  </w:rPr>
                  <m:t>h</m:t>
                </m:r>
              </m:e>
              <m:sub>
                <m:r>
                  <w:rPr>
                    <w:rFonts w:ascii="Cambria Math" w:hAnsi="Cambria Math"/>
                  </w:rPr>
                  <m:t>i</m:t>
                </m:r>
              </m:sub>
            </m:sSub>
          </m:den>
        </m:f>
        <m:r>
          <w:rPr>
            <w:rFonts w:ascii="Cambria Math" w:hAnsi="Cambria Math"/>
            <w:lang w:val="en-US"/>
          </w:rPr>
          <m:t>+∑</m:t>
        </m:r>
        <m:f>
          <m:fPr>
            <m:ctrlPr>
              <w:rPr>
                <w:rFonts w:ascii="Cambria Math" w:hAnsi="Cambria Math" w:cstheme="minorBidi"/>
                <w:i/>
                <w:sz w:val="22"/>
                <w:szCs w:val="22"/>
              </w:rPr>
            </m:ctrlPr>
          </m:fPr>
          <m:num>
            <m:r>
              <w:rPr>
                <w:rFonts w:ascii="Cambria Math" w:hAnsi="Cambria Math"/>
              </w:rPr>
              <m:t>e</m:t>
            </m:r>
          </m:num>
          <m:den>
            <m:r>
              <w:rPr>
                <w:rFonts w:ascii="Cambria Math" w:hAnsi="Cambria Math"/>
              </w:rPr>
              <m:t>λ</m:t>
            </m:r>
          </m:den>
        </m:f>
        <m:r>
          <w:rPr>
            <w:rFonts w:ascii="Cambria Math" w:hAnsi="Cambria Math"/>
            <w:lang w:val="en-US"/>
          </w:rPr>
          <m:t>+</m:t>
        </m:r>
        <m:nary>
          <m:naryPr>
            <m:chr m:val="∑"/>
            <m:subHide m:val="on"/>
            <m:supHide m:val="on"/>
            <m:ctrlPr>
              <w:rPr>
                <w:rFonts w:ascii="Cambria Math" w:hAnsi="Cambria Math"/>
              </w:rPr>
            </m:ctrlPr>
          </m:naryPr>
          <m:sub/>
          <m:sup/>
          <m:e>
            <m:r>
              <m:rPr>
                <m:sty m:val="p"/>
              </m:rPr>
              <w:rPr>
                <w:rFonts w:ascii="Cambria Math" w:hAnsi="Cambria Math"/>
                <w:lang w:val="en-US"/>
              </w:rPr>
              <m:t>R</m:t>
            </m:r>
          </m:e>
        </m:nary>
        <m:r>
          <m:rPr>
            <m:sty m:val="p"/>
          </m:rPr>
          <w:rPr>
            <w:rFonts w:ascii="Cambria Math" w:hAnsi="Cambria Math"/>
            <w:lang w:val="en-US"/>
          </w:rPr>
          <m:t>+</m:t>
        </m:r>
        <m:f>
          <m:fPr>
            <m:ctrlPr>
              <w:rPr>
                <w:rFonts w:ascii="Cambria Math" w:hAnsi="Cambria Math" w:cstheme="minorBidi"/>
                <w:i/>
                <w:sz w:val="22"/>
                <w:szCs w:val="22"/>
              </w:rPr>
            </m:ctrlPr>
          </m:fPr>
          <m:num>
            <m:r>
              <w:rPr>
                <w:rFonts w:ascii="Cambria Math" w:hAnsi="Cambria Math"/>
                <w:lang w:val="en-US"/>
              </w:rPr>
              <m:t>1</m:t>
            </m:r>
          </m:num>
          <m:den>
            <m:sSub>
              <m:sSubPr>
                <m:ctrlPr>
                  <w:rPr>
                    <w:rFonts w:ascii="Cambria Math" w:hAnsi="Cambria Math"/>
                    <w:i/>
                  </w:rPr>
                </m:ctrlPr>
              </m:sSubPr>
              <m:e>
                <m:r>
                  <w:rPr>
                    <w:rFonts w:ascii="Cambria Math" w:hAnsi="Cambria Math"/>
                    <w:lang w:val="en-US"/>
                  </w:rPr>
                  <m:t>h</m:t>
                </m:r>
              </m:e>
              <m:sub>
                <m:r>
                  <w:rPr>
                    <w:rFonts w:ascii="Cambria Math" w:hAnsi="Cambria Math"/>
                  </w:rPr>
                  <m:t>e</m:t>
                </m:r>
              </m:sub>
            </m:sSub>
          </m:den>
        </m:f>
      </m:oMath>
      <w:r w:rsidRPr="003A414F">
        <w:rPr>
          <w:lang w:val="en-US"/>
        </w:rPr>
        <w:t xml:space="preserve"> [m².K.W</w:t>
      </w:r>
      <w:r w:rsidRPr="003A414F">
        <w:rPr>
          <w:vertAlign w:val="superscript"/>
          <w:lang w:val="en-US"/>
        </w:rPr>
        <w:t>-1</w:t>
      </w:r>
      <w:r w:rsidRPr="003A414F">
        <w:rPr>
          <w:lang w:val="en-US"/>
        </w:rPr>
        <w:t>]</w:t>
      </w:r>
    </w:p>
    <w:p w:rsidR="00604645" w:rsidRDefault="00604645" w:rsidP="00604645">
      <w:r>
        <w:t>Remarque : mettre en évidence l’isolant thermique (ici 90% de la résistance thermique globale d’une paroi).</w:t>
      </w:r>
    </w:p>
    <w:p w:rsidR="00604645" w:rsidRDefault="00604645" w:rsidP="00604645"/>
    <w:p w:rsidR="00604645" w:rsidRPr="000A1220" w:rsidRDefault="00604645" w:rsidP="00604645"/>
    <w:p w:rsidR="00D64037" w:rsidRDefault="008464D7" w:rsidP="008464D7">
      <w:pPr>
        <w:pStyle w:val="Titre2"/>
      </w:pPr>
      <w:r>
        <w:t>Simulation de comportement :</w:t>
      </w:r>
    </w:p>
    <w:p w:rsidR="008464D7" w:rsidRDefault="008464D7" w:rsidP="008464D7">
      <w:r>
        <w:t>Dans le cas où l’on peut disposer d’une application de simulation numérique de paroi, il est intéressant de mettre en évidence :</w:t>
      </w:r>
    </w:p>
    <w:p w:rsidR="008464D7" w:rsidRDefault="008464D7" w:rsidP="008464D7">
      <w:pPr>
        <w:pStyle w:val="Paragraphedeliste"/>
        <w:numPr>
          <w:ilvl w:val="0"/>
          <w:numId w:val="2"/>
        </w:numPr>
      </w:pPr>
      <w:r>
        <w:t>l’effet non linéaire de l’épaisseur d’un matériau isolant.</w:t>
      </w:r>
    </w:p>
    <w:p w:rsidR="008464D7" w:rsidRDefault="008464D7" w:rsidP="008464D7">
      <w:pPr>
        <w:pStyle w:val="Paragraphedeliste"/>
        <w:numPr>
          <w:ilvl w:val="0"/>
          <w:numId w:val="2"/>
        </w:numPr>
      </w:pPr>
      <w:r>
        <w:t>L’effet de la nature du matériau (conductivité).</w:t>
      </w:r>
    </w:p>
    <w:p w:rsidR="008464D7" w:rsidRDefault="008464D7" w:rsidP="008464D7">
      <w:pPr>
        <w:pStyle w:val="Paragraphedeliste"/>
        <w:numPr>
          <w:ilvl w:val="0"/>
          <w:numId w:val="2"/>
        </w:numPr>
      </w:pPr>
      <w:r>
        <w:t>L’effet des températures des ambiances en contact (importance d’isoler un plafond)</w:t>
      </w:r>
    </w:p>
    <w:p w:rsidR="008464D7" w:rsidRDefault="008464D7" w:rsidP="008464D7">
      <w:r>
        <w:t>Sur la puissance perdue par la paroi.</w:t>
      </w:r>
    </w:p>
    <w:p w:rsidR="008464D7" w:rsidRDefault="008464D7" w:rsidP="008464D7"/>
    <w:p w:rsidR="008464D7" w:rsidRDefault="008464D7" w:rsidP="008464D7">
      <w:pPr>
        <w:pStyle w:val="Titre2"/>
      </w:pPr>
      <w:r>
        <w:t>Systèmes complexes :</w:t>
      </w:r>
    </w:p>
    <w:p w:rsidR="008464D7" w:rsidRDefault="008464D7" w:rsidP="008464D7">
      <w:r>
        <w:t>Une analyse qualitative des systèmes complexes pourra être proposée aux élèves :</w:t>
      </w:r>
    </w:p>
    <w:p w:rsidR="008464D7" w:rsidRDefault="008464D7" w:rsidP="008464D7">
      <w:pPr>
        <w:pStyle w:val="Paragraphedeliste"/>
        <w:numPr>
          <w:ilvl w:val="0"/>
          <w:numId w:val="2"/>
        </w:numPr>
      </w:pPr>
      <w:r>
        <w:t>Mise en évidence des ponts thermiques aux jonctions de parois : montrer l’importance de ces transferts en valeur globale sur une habitation (exemple de sources : documentation générale ADEME)</w:t>
      </w:r>
    </w:p>
    <w:p w:rsidR="008464D7" w:rsidRDefault="008464D7" w:rsidP="008464D7">
      <w:pPr>
        <w:pStyle w:val="Paragraphedeliste"/>
        <w:numPr>
          <w:ilvl w:val="0"/>
          <w:numId w:val="2"/>
        </w:numPr>
      </w:pPr>
      <w:r>
        <w:t xml:space="preserve">Moyens : analyse sur photos </w:t>
      </w:r>
      <w:r w:rsidR="00601286">
        <w:t>par thermographie</w:t>
      </w:r>
      <w:r>
        <w:t>, ou résultats de simulations</w:t>
      </w:r>
      <w:r w:rsidR="00601286">
        <w:t xml:space="preserve"> ou d’études thermiques</w:t>
      </w:r>
      <w:r>
        <w:t>.</w:t>
      </w:r>
    </w:p>
    <w:p w:rsidR="008464D7" w:rsidRDefault="008464D7" w:rsidP="008464D7"/>
    <w:p w:rsidR="008464D7" w:rsidRDefault="00601286" w:rsidP="008464D7">
      <w:r>
        <w:rPr>
          <w:noProof/>
          <w:lang w:eastAsia="fr-FR"/>
        </w:rPr>
        <w:drawing>
          <wp:inline distT="0" distB="0" distL="0" distR="0">
            <wp:extent cx="4533900" cy="2809984"/>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533900" cy="2809984"/>
                    </a:xfrm>
                    <a:prstGeom prst="rect">
                      <a:avLst/>
                    </a:prstGeom>
                    <a:noFill/>
                    <a:ln w="9525">
                      <a:noFill/>
                      <a:miter lim="800000"/>
                      <a:headEnd/>
                      <a:tailEnd/>
                    </a:ln>
                  </pic:spPr>
                </pic:pic>
              </a:graphicData>
            </a:graphic>
          </wp:inline>
        </w:drawing>
      </w:r>
    </w:p>
    <w:p w:rsidR="00BF4812" w:rsidRDefault="00BF4812" w:rsidP="008464D7"/>
    <w:p w:rsidR="00BF4812" w:rsidRDefault="00BF4812" w:rsidP="00BF4812">
      <w:pPr>
        <w:pStyle w:val="Titre1"/>
      </w:pPr>
      <w:r>
        <w:t>Ce que l’on attend de l’élève :</w:t>
      </w:r>
    </w:p>
    <w:p w:rsidR="00BF4812" w:rsidRPr="00BF4812" w:rsidRDefault="00BF4812" w:rsidP="00BF4812">
      <w:pPr>
        <w:pStyle w:val="Titre2"/>
      </w:pPr>
      <w:r>
        <w:t>Les  transferts de chaleur :</w:t>
      </w:r>
    </w:p>
    <w:p w:rsidR="00BF4812" w:rsidRPr="00BF4812" w:rsidRDefault="00BF4812" w:rsidP="00BF4812">
      <w:r w:rsidRPr="00BF4812">
        <w:t xml:space="preserve">L’élève devra être capable </w:t>
      </w:r>
    </w:p>
    <w:p w:rsidR="00BF4812" w:rsidRPr="00BF4812" w:rsidRDefault="00BF4812" w:rsidP="00BF4812">
      <w:pPr>
        <w:pStyle w:val="Paragraphedeliste"/>
        <w:numPr>
          <w:ilvl w:val="0"/>
          <w:numId w:val="2"/>
        </w:numPr>
      </w:pPr>
      <w:r w:rsidRPr="00BF4812">
        <w:t>d’identifier de manière qualitative les modes de transfert de chaleur suivant la géométrie et les composants du système considéré, à partir de schémas, plans, croquis de systèmes.</w:t>
      </w:r>
    </w:p>
    <w:p w:rsidR="00BF4812" w:rsidRPr="00BF4812" w:rsidRDefault="00BF4812" w:rsidP="00BF4812">
      <w:pPr>
        <w:pStyle w:val="Paragraphedeliste"/>
        <w:numPr>
          <w:ilvl w:val="0"/>
          <w:numId w:val="2"/>
        </w:numPr>
      </w:pPr>
      <w:r w:rsidRPr="00BF4812">
        <w:t>D’indiquer le sens du transfert de chaleur</w:t>
      </w:r>
    </w:p>
    <w:p w:rsidR="00BF4812" w:rsidRDefault="00BF4812" w:rsidP="00BF4812">
      <w:pPr>
        <w:rPr>
          <w:i/>
        </w:rPr>
      </w:pPr>
    </w:p>
    <w:p w:rsidR="00BF4812" w:rsidRDefault="00BF4812" w:rsidP="00BF4812">
      <w:pPr>
        <w:pStyle w:val="Titre2"/>
      </w:pPr>
      <w:r>
        <w:t>Quantification des transferts :</w:t>
      </w:r>
    </w:p>
    <w:p w:rsidR="00BF4812" w:rsidRDefault="00BF4812" w:rsidP="00BF4812">
      <w:r>
        <w:t xml:space="preserve">Aspect matériau : l’élève devra être capable de </w:t>
      </w:r>
    </w:p>
    <w:p w:rsidR="00BF4812" w:rsidRDefault="00BF4812" w:rsidP="00BF4812">
      <w:pPr>
        <w:pStyle w:val="Paragraphedeliste"/>
        <w:numPr>
          <w:ilvl w:val="0"/>
          <w:numId w:val="2"/>
        </w:numPr>
      </w:pPr>
      <w:r>
        <w:t>sélectionner un matériau adapté en fonction de sa conductivité thermique dans une liste.</w:t>
      </w:r>
    </w:p>
    <w:p w:rsidR="00BF4812" w:rsidRDefault="00BF4812" w:rsidP="00BF4812">
      <w:pPr>
        <w:pStyle w:val="Paragraphedeliste"/>
        <w:numPr>
          <w:ilvl w:val="0"/>
          <w:numId w:val="2"/>
        </w:numPr>
      </w:pPr>
      <w:r>
        <w:t>Citer différentes familles de matériaux en fonction de leur conductivité thermique</w:t>
      </w:r>
    </w:p>
    <w:p w:rsidR="00BF4812" w:rsidRDefault="00BF4812" w:rsidP="00BF4812">
      <w:pPr>
        <w:pStyle w:val="Paragraphedeliste"/>
        <w:numPr>
          <w:ilvl w:val="0"/>
          <w:numId w:val="2"/>
        </w:numPr>
      </w:pPr>
      <w:r>
        <w:t>Calculer la résistance thermique de conduction d’une paroi plane en fonction de son épaisseur et de sa conductivité thermique</w:t>
      </w:r>
    </w:p>
    <w:p w:rsidR="00BF4812" w:rsidRDefault="00BF4812" w:rsidP="00BF4812"/>
    <w:p w:rsidR="00BF4812" w:rsidRDefault="00BF4812" w:rsidP="00BF4812">
      <w:r>
        <w:t>Aspect transfert thermique :</w:t>
      </w:r>
      <w:r w:rsidRPr="00BF4812">
        <w:t xml:space="preserve"> </w:t>
      </w:r>
      <w:r>
        <w:t>l’élève devra être capable de :</w:t>
      </w:r>
    </w:p>
    <w:p w:rsidR="00BF4812" w:rsidRDefault="00BF4812" w:rsidP="00BF4812">
      <w:pPr>
        <w:pStyle w:val="Paragraphedeliste"/>
        <w:numPr>
          <w:ilvl w:val="0"/>
          <w:numId w:val="2"/>
        </w:numPr>
      </w:pPr>
      <w:r>
        <w:t xml:space="preserve">Calculer la résistance thermique globale d’une paroi, incluant les résistances superficielles </w:t>
      </w:r>
    </w:p>
    <w:p w:rsidR="00BF4812" w:rsidRDefault="00BF4812" w:rsidP="00BF4812">
      <w:pPr>
        <w:pStyle w:val="Paragraphedeliste"/>
        <w:numPr>
          <w:ilvl w:val="0"/>
          <w:numId w:val="2"/>
        </w:numPr>
      </w:pPr>
      <w:r>
        <w:t>Évaluer le flux de chaleur traversant une paroi donnée</w:t>
      </w:r>
    </w:p>
    <w:p w:rsidR="00BF4812" w:rsidRDefault="00BF4812" w:rsidP="00BF4812"/>
    <w:p w:rsidR="00BF4812" w:rsidRDefault="00BF4812" w:rsidP="00BF4812">
      <w:r>
        <w:t>Aspect simulation / logiciel </w:t>
      </w:r>
      <w:r w:rsidR="00174D50">
        <w:t xml:space="preserve">/ projet </w:t>
      </w:r>
      <w:r>
        <w:t>:</w:t>
      </w:r>
    </w:p>
    <w:p w:rsidR="00BF4812" w:rsidRDefault="00BF4812" w:rsidP="00BF4812">
      <w:pPr>
        <w:pStyle w:val="Paragraphedeliste"/>
        <w:numPr>
          <w:ilvl w:val="0"/>
          <w:numId w:val="2"/>
        </w:numPr>
      </w:pPr>
      <w:r>
        <w:t xml:space="preserve">L’élève pourra modifier </w:t>
      </w:r>
      <w:r w:rsidR="0006411E">
        <w:t>un certain nombre de</w:t>
      </w:r>
      <w:r>
        <w:t xml:space="preserve"> paramètres de composants de parois, afin de visualiser l’</w:t>
      </w:r>
      <w:r w:rsidR="00174D50">
        <w:t>effet sur la</w:t>
      </w:r>
      <w:r>
        <w:t xml:space="preserve"> dépense d’énergie (</w:t>
      </w:r>
      <w:r w:rsidR="0006411E">
        <w:t>températures</w:t>
      </w:r>
      <w:r w:rsidR="00174D50">
        <w:t xml:space="preserve"> extérieure / intérieure</w:t>
      </w:r>
      <w:r w:rsidR="0006411E">
        <w:t xml:space="preserve">, </w:t>
      </w:r>
      <w:r>
        <w:t>conductivité, épaisseur, isolation extérieu</w:t>
      </w:r>
      <w:r w:rsidR="0006411E">
        <w:t>re, intérieure, dans la masse, surfaces de parois vitrées, de plafonds / planchers etc…</w:t>
      </w:r>
      <w:r>
        <w:t>)</w:t>
      </w:r>
    </w:p>
    <w:p w:rsidR="00BF4812" w:rsidRDefault="0006411E" w:rsidP="00BF4812">
      <w:pPr>
        <w:pStyle w:val="Paragraphedeliste"/>
        <w:numPr>
          <w:ilvl w:val="0"/>
          <w:numId w:val="2"/>
        </w:numPr>
      </w:pPr>
      <w:r>
        <w:t>L’élève pourra mesurer sur une maquette les températures des matériaux composant une paroi extérieure entre 2 ambiances stabilisées. On évitera les régimes transitoires.</w:t>
      </w:r>
    </w:p>
    <w:p w:rsidR="0006411E" w:rsidRPr="00BF4812" w:rsidRDefault="0006411E" w:rsidP="00BF4812">
      <w:pPr>
        <w:pStyle w:val="Paragraphedeliste"/>
        <w:numPr>
          <w:ilvl w:val="0"/>
          <w:numId w:val="2"/>
        </w:numPr>
      </w:pPr>
      <w:r>
        <w:t>Sur une maquette, l’élève pourra effectuer le bilan thermique du local entre la puissance de chauffage et les pertes par les parois (ratio donné pour les liaisons entre parois et la ventilation).</w:t>
      </w:r>
    </w:p>
    <w:p w:rsidR="00BF4812" w:rsidRDefault="00BF4812" w:rsidP="00BF4812">
      <w:pPr>
        <w:rPr>
          <w:i/>
        </w:rPr>
      </w:pPr>
    </w:p>
    <w:p w:rsidR="00BF4812" w:rsidRDefault="00BF4812" w:rsidP="00BF4812">
      <w:pPr>
        <w:rPr>
          <w:i/>
        </w:rPr>
      </w:pPr>
    </w:p>
    <w:p w:rsidR="00BF4812" w:rsidRPr="000A1220" w:rsidRDefault="00BF4812" w:rsidP="00BF4812">
      <w:pPr>
        <w:rPr>
          <w:i/>
        </w:rPr>
      </w:pPr>
    </w:p>
    <w:p w:rsidR="00BF4812" w:rsidRPr="00BF4812" w:rsidRDefault="00BF4812" w:rsidP="00BF4812"/>
    <w:sectPr w:rsidR="00BF4812" w:rsidRPr="00BF4812" w:rsidSect="008C3D7F">
      <w:headerReference w:type="default" r:id="rId18"/>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0A" w:rsidRDefault="00FA330A" w:rsidP="008C3D7F">
      <w:r>
        <w:separator/>
      </w:r>
    </w:p>
  </w:endnote>
  <w:endnote w:type="continuationSeparator" w:id="0">
    <w:p w:rsidR="00FA330A" w:rsidRDefault="00FA330A" w:rsidP="008C3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E84F60">
    <w:pPr>
      <w:pStyle w:val="Pieddepage"/>
      <w:pBdr>
        <w:top w:val="thinThickSmallGap" w:sz="24" w:space="1" w:color="622423" w:themeColor="accent2" w:themeShade="7F"/>
      </w:pBdr>
      <w:rPr>
        <w:rFonts w:asciiTheme="majorHAnsi" w:hAnsiTheme="majorHAnsi"/>
      </w:rPr>
    </w:pPr>
    <w:r>
      <w:t>T.C.-2.3.2_3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EF6BB4" w:rsidRPr="00AD44D3">
      <w:rPr>
        <w:rFonts w:cs="Arial"/>
      </w:rPr>
      <w:fldChar w:fldCharType="begin"/>
    </w:r>
    <w:r w:rsidR="00D61259" w:rsidRPr="00AD44D3">
      <w:rPr>
        <w:rFonts w:cs="Arial"/>
      </w:rPr>
      <w:instrText xml:space="preserve"> PAGE   \* MERGEFORMAT </w:instrText>
    </w:r>
    <w:r w:rsidR="00EF6BB4" w:rsidRPr="00AD44D3">
      <w:rPr>
        <w:rFonts w:cs="Arial"/>
      </w:rPr>
      <w:fldChar w:fldCharType="separate"/>
    </w:r>
    <w:r w:rsidR="00FA330A">
      <w:rPr>
        <w:rFonts w:cs="Arial"/>
        <w:noProof/>
      </w:rPr>
      <w:t>1</w:t>
    </w:r>
    <w:r w:rsidR="00EF6BB4"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0A" w:rsidRDefault="00FA330A" w:rsidP="008C3D7F">
      <w:r>
        <w:separator/>
      </w:r>
    </w:p>
  </w:footnote>
  <w:footnote w:type="continuationSeparator" w:id="0">
    <w:p w:rsidR="00FA330A" w:rsidRDefault="00FA330A"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B9CCA6B736D346318CCC25112EA73B48"/>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AD1813">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Tronc Commun</w:t>
        </w:r>
      </w:p>
    </w:sdtContent>
  </w:sdt>
  <w:p w:rsidR="008C3D7F" w:rsidRDefault="008C3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07787"/>
    <w:multiLevelType w:val="hybridMultilevel"/>
    <w:tmpl w:val="029C8436"/>
    <w:lvl w:ilvl="0" w:tplc="FCF6FC2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savePreviewPicture/>
  <w:footnotePr>
    <w:footnote w:id="-1"/>
    <w:footnote w:id="0"/>
  </w:footnotePr>
  <w:endnotePr>
    <w:endnote w:id="-1"/>
    <w:endnote w:id="0"/>
  </w:endnotePr>
  <w:compat/>
  <w:rsids>
    <w:rsidRoot w:val="00AD1813"/>
    <w:rsid w:val="0006411E"/>
    <w:rsid w:val="00111382"/>
    <w:rsid w:val="00174D50"/>
    <w:rsid w:val="001950A9"/>
    <w:rsid w:val="001A49E7"/>
    <w:rsid w:val="00243288"/>
    <w:rsid w:val="00266941"/>
    <w:rsid w:val="00281D84"/>
    <w:rsid w:val="002F1410"/>
    <w:rsid w:val="00306D19"/>
    <w:rsid w:val="003A414F"/>
    <w:rsid w:val="003D034D"/>
    <w:rsid w:val="00406F9C"/>
    <w:rsid w:val="00477312"/>
    <w:rsid w:val="005229D4"/>
    <w:rsid w:val="00525A22"/>
    <w:rsid w:val="00550D8C"/>
    <w:rsid w:val="0059108C"/>
    <w:rsid w:val="005F6D16"/>
    <w:rsid w:val="00601286"/>
    <w:rsid w:val="00604645"/>
    <w:rsid w:val="00620B13"/>
    <w:rsid w:val="007F0933"/>
    <w:rsid w:val="007F18EF"/>
    <w:rsid w:val="007F7F53"/>
    <w:rsid w:val="008464D7"/>
    <w:rsid w:val="008C3D7F"/>
    <w:rsid w:val="00935C41"/>
    <w:rsid w:val="009A5F22"/>
    <w:rsid w:val="00AB3B32"/>
    <w:rsid w:val="00AD1813"/>
    <w:rsid w:val="00AD44D3"/>
    <w:rsid w:val="00AF7C5A"/>
    <w:rsid w:val="00B5767B"/>
    <w:rsid w:val="00B73278"/>
    <w:rsid w:val="00BD75A7"/>
    <w:rsid w:val="00BF4812"/>
    <w:rsid w:val="00D30092"/>
    <w:rsid w:val="00D61259"/>
    <w:rsid w:val="00D64037"/>
    <w:rsid w:val="00D800F5"/>
    <w:rsid w:val="00D90AB0"/>
    <w:rsid w:val="00DD2F7D"/>
    <w:rsid w:val="00E84F60"/>
    <w:rsid w:val="00EE66AF"/>
    <w:rsid w:val="00EF6BB4"/>
    <w:rsid w:val="00F2697B"/>
    <w:rsid w:val="00FA330A"/>
    <w:rsid w:val="00FC3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paragraph" w:styleId="Titre1">
    <w:name w:val="heading 1"/>
    <w:basedOn w:val="Normal"/>
    <w:next w:val="Normal"/>
    <w:link w:val="Titre1Car"/>
    <w:uiPriority w:val="9"/>
    <w:qFormat/>
    <w:rsid w:val="00604645"/>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0464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4645"/>
    <w:pPr>
      <w:keepNext/>
      <w:keepLines/>
      <w:spacing w:before="200" w:line="276" w:lineRule="auto"/>
      <w:jc w:val="left"/>
      <w:outlineLvl w:val="2"/>
    </w:pPr>
    <w:rPr>
      <w:rFonts w:asciiTheme="majorHAnsi" w:eastAsiaTheme="majorEastAsia" w:hAnsiTheme="majorHAnsi" w:cstheme="majorBidi"/>
      <w:b/>
      <w:bCs/>
      <w:color w:val="4F81BD" w:themeColor="accent1"/>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D1813"/>
    <w:pPr>
      <w:ind w:left="720"/>
      <w:contextualSpacing/>
    </w:pPr>
  </w:style>
  <w:style w:type="paragraph" w:customStyle="1" w:styleId="Default">
    <w:name w:val="Default"/>
    <w:rsid w:val="00AD1813"/>
    <w:pPr>
      <w:autoSpaceDE w:val="0"/>
      <w:autoSpaceDN w:val="0"/>
      <w:adjustRightInd w:val="0"/>
      <w:jc w:val="left"/>
    </w:pPr>
    <w:rPr>
      <w:rFonts w:cs="Arial"/>
      <w:color w:val="000000"/>
      <w:sz w:val="24"/>
    </w:rPr>
  </w:style>
  <w:style w:type="character" w:customStyle="1" w:styleId="Titre1Car">
    <w:name w:val="Titre 1 Car"/>
    <w:basedOn w:val="Policepardfaut"/>
    <w:link w:val="Titre1"/>
    <w:uiPriority w:val="9"/>
    <w:rsid w:val="006046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0464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4645"/>
    <w:rPr>
      <w:rFonts w:asciiTheme="majorHAnsi" w:eastAsiaTheme="majorEastAsia" w:hAnsiTheme="majorHAnsi" w:cstheme="majorBidi"/>
      <w:b/>
      <w:bCs/>
      <w:color w:val="4F81BD" w:themeColor="accent1"/>
      <w:sz w:val="22"/>
      <w:szCs w:val="22"/>
    </w:rPr>
  </w:style>
  <w:style w:type="paragraph" w:styleId="Sansinterligne">
    <w:name w:val="No Spacing"/>
    <w:uiPriority w:val="1"/>
    <w:qFormat/>
    <w:rsid w:val="00604645"/>
    <w:pPr>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AA7376-7B12-4AC0-9F1D-E2223D252C79}" type="doc">
      <dgm:prSet loTypeId="urn:microsoft.com/office/officeart/2005/8/layout/chevron1" loCatId="process" qsTypeId="urn:microsoft.com/office/officeart/2005/8/quickstyle/simple1#2" qsCatId="simple" csTypeId="urn:microsoft.com/office/officeart/2005/8/colors/accent1_2#2" csCatId="accent1" phldr="0"/>
      <dgm:spPr/>
    </dgm:pt>
    <dgm:pt modelId="{9BEB3D57-8641-4677-9501-D81A635782E1}">
      <dgm:prSet phldrT="[Texte]" phldr="1"/>
      <dgm:spPr/>
      <dgm:t>
        <a:bodyPr/>
        <a:lstStyle/>
        <a:p>
          <a:endParaRPr lang="fr-FR" dirty="0"/>
        </a:p>
      </dgm:t>
    </dgm:pt>
    <dgm:pt modelId="{A438C0CB-8AC1-41FB-820A-D2340BFED4EE}" type="parTrans" cxnId="{DF546CD7-BA6A-44F8-A452-8877E7A88E77}">
      <dgm:prSet/>
      <dgm:spPr/>
      <dgm:t>
        <a:bodyPr/>
        <a:lstStyle/>
        <a:p>
          <a:endParaRPr lang="fr-FR"/>
        </a:p>
      </dgm:t>
    </dgm:pt>
    <dgm:pt modelId="{98302123-608B-4C93-A467-9B8A5E283FDE}" type="sibTrans" cxnId="{DF546CD7-BA6A-44F8-A452-8877E7A88E77}">
      <dgm:prSet/>
      <dgm:spPr/>
      <dgm:t>
        <a:bodyPr/>
        <a:lstStyle/>
        <a:p>
          <a:endParaRPr lang="fr-FR"/>
        </a:p>
      </dgm:t>
    </dgm:pt>
    <dgm:pt modelId="{0321B71F-914C-4BE1-B4A5-47267FBBF1AB}">
      <dgm:prSet phldrT="[Texte]" phldr="1"/>
      <dgm:spPr/>
      <dgm:t>
        <a:bodyPr/>
        <a:lstStyle/>
        <a:p>
          <a:endParaRPr lang="fr-FR" dirty="0"/>
        </a:p>
      </dgm:t>
    </dgm:pt>
    <dgm:pt modelId="{A294ACE1-DE43-407B-920D-885F70A010FF}" type="parTrans" cxnId="{03C07312-78F0-4BA5-A120-9FDD41181D49}">
      <dgm:prSet/>
      <dgm:spPr/>
      <dgm:t>
        <a:bodyPr/>
        <a:lstStyle/>
        <a:p>
          <a:endParaRPr lang="fr-FR"/>
        </a:p>
      </dgm:t>
    </dgm:pt>
    <dgm:pt modelId="{E5D8C5F8-503F-4AFC-A4AA-DDF1ACF06930}" type="sibTrans" cxnId="{03C07312-78F0-4BA5-A120-9FDD41181D49}">
      <dgm:prSet/>
      <dgm:spPr/>
      <dgm:t>
        <a:bodyPr/>
        <a:lstStyle/>
        <a:p>
          <a:endParaRPr lang="fr-FR"/>
        </a:p>
      </dgm:t>
    </dgm:pt>
    <dgm:pt modelId="{823B1576-DDA7-4775-969F-A8E5454CF813}">
      <dgm:prSet phldrT="[Texte]" phldr="1"/>
      <dgm:spPr/>
      <dgm:t>
        <a:bodyPr/>
        <a:lstStyle/>
        <a:p>
          <a:endParaRPr lang="fr-FR" dirty="0"/>
        </a:p>
      </dgm:t>
    </dgm:pt>
    <dgm:pt modelId="{26101F3F-1208-4C61-AE7E-4EFA05F0326A}" type="parTrans" cxnId="{964FF668-E0DF-4863-8F7C-687E7BD84DC2}">
      <dgm:prSet/>
      <dgm:spPr/>
      <dgm:t>
        <a:bodyPr/>
        <a:lstStyle/>
        <a:p>
          <a:endParaRPr lang="fr-FR"/>
        </a:p>
      </dgm:t>
    </dgm:pt>
    <dgm:pt modelId="{A91D0869-33E2-4DA4-9052-99897572F26B}" type="sibTrans" cxnId="{964FF668-E0DF-4863-8F7C-687E7BD84DC2}">
      <dgm:prSet/>
      <dgm:spPr/>
      <dgm:t>
        <a:bodyPr/>
        <a:lstStyle/>
        <a:p>
          <a:endParaRPr lang="fr-FR"/>
        </a:p>
      </dgm:t>
    </dgm:pt>
    <dgm:pt modelId="{DDB0282F-F2BD-4207-8992-5CA7CE1ABBE7}" type="pres">
      <dgm:prSet presAssocID="{9DAA7376-7B12-4AC0-9F1D-E2223D252C79}" presName="Name0" presStyleCnt="0">
        <dgm:presLayoutVars>
          <dgm:dir/>
          <dgm:animLvl val="lvl"/>
          <dgm:resizeHandles val="exact"/>
        </dgm:presLayoutVars>
      </dgm:prSet>
      <dgm:spPr/>
    </dgm:pt>
    <dgm:pt modelId="{2CD2CC37-5829-49BE-9568-A09E70D86F7E}" type="pres">
      <dgm:prSet presAssocID="{9BEB3D57-8641-4677-9501-D81A635782E1}" presName="parTxOnly" presStyleLbl="node1" presStyleIdx="0" presStyleCnt="3">
        <dgm:presLayoutVars>
          <dgm:chMax val="0"/>
          <dgm:chPref val="0"/>
          <dgm:bulletEnabled val="1"/>
        </dgm:presLayoutVars>
      </dgm:prSet>
      <dgm:spPr/>
      <dgm:t>
        <a:bodyPr/>
        <a:lstStyle/>
        <a:p>
          <a:endParaRPr lang="fr-FR"/>
        </a:p>
      </dgm:t>
    </dgm:pt>
    <dgm:pt modelId="{8B718C73-DD80-4C8B-A0B8-E1DD1842D3EC}" type="pres">
      <dgm:prSet presAssocID="{98302123-608B-4C93-A467-9B8A5E283FDE}" presName="parTxOnlySpace" presStyleCnt="0"/>
      <dgm:spPr/>
    </dgm:pt>
    <dgm:pt modelId="{26524207-B649-4270-BF86-E64009A55C58}" type="pres">
      <dgm:prSet presAssocID="{0321B71F-914C-4BE1-B4A5-47267FBBF1AB}" presName="parTxOnly" presStyleLbl="node1" presStyleIdx="1" presStyleCnt="3">
        <dgm:presLayoutVars>
          <dgm:chMax val="0"/>
          <dgm:chPref val="0"/>
          <dgm:bulletEnabled val="1"/>
        </dgm:presLayoutVars>
      </dgm:prSet>
      <dgm:spPr/>
      <dgm:t>
        <a:bodyPr/>
        <a:lstStyle/>
        <a:p>
          <a:endParaRPr lang="fr-FR"/>
        </a:p>
      </dgm:t>
    </dgm:pt>
    <dgm:pt modelId="{A493C8EB-A4DB-4CAB-A4C2-E17E610496B7}" type="pres">
      <dgm:prSet presAssocID="{E5D8C5F8-503F-4AFC-A4AA-DDF1ACF06930}" presName="parTxOnlySpace" presStyleCnt="0"/>
      <dgm:spPr/>
    </dgm:pt>
    <dgm:pt modelId="{243A82B2-CAF5-424A-856E-F9CDC3643098}" type="pres">
      <dgm:prSet presAssocID="{823B1576-DDA7-4775-969F-A8E5454CF813}" presName="parTxOnly" presStyleLbl="node1" presStyleIdx="2" presStyleCnt="3">
        <dgm:presLayoutVars>
          <dgm:chMax val="0"/>
          <dgm:chPref val="0"/>
          <dgm:bulletEnabled val="1"/>
        </dgm:presLayoutVars>
      </dgm:prSet>
      <dgm:spPr/>
      <dgm:t>
        <a:bodyPr/>
        <a:lstStyle/>
        <a:p>
          <a:endParaRPr lang="fr-FR"/>
        </a:p>
      </dgm:t>
    </dgm:pt>
  </dgm:ptLst>
  <dgm:cxnLst>
    <dgm:cxn modelId="{DF546CD7-BA6A-44F8-A452-8877E7A88E77}" srcId="{9DAA7376-7B12-4AC0-9F1D-E2223D252C79}" destId="{9BEB3D57-8641-4677-9501-D81A635782E1}" srcOrd="0" destOrd="0" parTransId="{A438C0CB-8AC1-41FB-820A-D2340BFED4EE}" sibTransId="{98302123-608B-4C93-A467-9B8A5E283FDE}"/>
    <dgm:cxn modelId="{03C07312-78F0-4BA5-A120-9FDD41181D49}" srcId="{9DAA7376-7B12-4AC0-9F1D-E2223D252C79}" destId="{0321B71F-914C-4BE1-B4A5-47267FBBF1AB}" srcOrd="1" destOrd="0" parTransId="{A294ACE1-DE43-407B-920D-885F70A010FF}" sibTransId="{E5D8C5F8-503F-4AFC-A4AA-DDF1ACF06930}"/>
    <dgm:cxn modelId="{8F292FD9-15D2-4D0A-BEFB-DAEF13FB4B6D}" type="presOf" srcId="{9DAA7376-7B12-4AC0-9F1D-E2223D252C79}" destId="{DDB0282F-F2BD-4207-8992-5CA7CE1ABBE7}" srcOrd="0" destOrd="0" presId="urn:microsoft.com/office/officeart/2005/8/layout/chevron1"/>
    <dgm:cxn modelId="{4B6490DD-442A-43B1-8D5E-2CAADF25FD81}" type="presOf" srcId="{0321B71F-914C-4BE1-B4A5-47267FBBF1AB}" destId="{26524207-B649-4270-BF86-E64009A55C58}" srcOrd="0" destOrd="0" presId="urn:microsoft.com/office/officeart/2005/8/layout/chevron1"/>
    <dgm:cxn modelId="{9430C02E-1B32-4B44-AFB9-4B13EDED448D}" type="presOf" srcId="{823B1576-DDA7-4775-969F-A8E5454CF813}" destId="{243A82B2-CAF5-424A-856E-F9CDC3643098}" srcOrd="0" destOrd="0" presId="urn:microsoft.com/office/officeart/2005/8/layout/chevron1"/>
    <dgm:cxn modelId="{964FF668-E0DF-4863-8F7C-687E7BD84DC2}" srcId="{9DAA7376-7B12-4AC0-9F1D-E2223D252C79}" destId="{823B1576-DDA7-4775-969F-A8E5454CF813}" srcOrd="2" destOrd="0" parTransId="{26101F3F-1208-4C61-AE7E-4EFA05F0326A}" sibTransId="{A91D0869-33E2-4DA4-9052-99897572F26B}"/>
    <dgm:cxn modelId="{77E4EF85-2AC0-40BA-A286-F8631EFD1572}" type="presOf" srcId="{9BEB3D57-8641-4677-9501-D81A635782E1}" destId="{2CD2CC37-5829-49BE-9568-A09E70D86F7E}" srcOrd="0" destOrd="0" presId="urn:microsoft.com/office/officeart/2005/8/layout/chevron1"/>
    <dgm:cxn modelId="{513E89EF-C8F3-4862-8031-1BA0CCF2F321}" type="presParOf" srcId="{DDB0282F-F2BD-4207-8992-5CA7CE1ABBE7}" destId="{2CD2CC37-5829-49BE-9568-A09E70D86F7E}" srcOrd="0" destOrd="0" presId="urn:microsoft.com/office/officeart/2005/8/layout/chevron1"/>
    <dgm:cxn modelId="{96749848-4B08-4B18-9B95-F80664F9C873}" type="presParOf" srcId="{DDB0282F-F2BD-4207-8992-5CA7CE1ABBE7}" destId="{8B718C73-DD80-4C8B-A0B8-E1DD1842D3EC}" srcOrd="1" destOrd="0" presId="urn:microsoft.com/office/officeart/2005/8/layout/chevron1"/>
    <dgm:cxn modelId="{F73F6B8B-0035-4135-B209-406D6D1599F2}" type="presParOf" srcId="{DDB0282F-F2BD-4207-8992-5CA7CE1ABBE7}" destId="{26524207-B649-4270-BF86-E64009A55C58}" srcOrd="2" destOrd="0" presId="urn:microsoft.com/office/officeart/2005/8/layout/chevron1"/>
    <dgm:cxn modelId="{8B7522D5-B2AC-4A85-A014-281D86E20D25}" type="presParOf" srcId="{DDB0282F-F2BD-4207-8992-5CA7CE1ABBE7}" destId="{A493C8EB-A4DB-4CAB-A4C2-E17E610496B7}" srcOrd="3" destOrd="0" presId="urn:microsoft.com/office/officeart/2005/8/layout/chevron1"/>
    <dgm:cxn modelId="{24D579E7-27C5-4B5D-931C-E64250AB92D3}" type="presParOf" srcId="{DDB0282F-F2BD-4207-8992-5CA7CE1ABBE7}" destId="{243A82B2-CAF5-424A-856E-F9CDC3643098}" srcOrd="4" destOrd="0" presId="urn:microsoft.com/office/officeart/2005/8/layout/chevro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D2CC37-5829-49BE-9568-A09E70D86F7E}">
      <dsp:nvSpPr>
        <dsp:cNvPr id="0" name=""/>
        <dsp:cNvSpPr/>
      </dsp:nvSpPr>
      <dsp:spPr>
        <a:xfrm>
          <a:off x="1183" y="1687228"/>
          <a:ext cx="1442078" cy="57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endParaRPr lang="fr-FR" sz="2100" kern="1200" dirty="0"/>
        </a:p>
      </dsp:txBody>
      <dsp:txXfrm>
        <a:off x="1183" y="1687228"/>
        <a:ext cx="1442078" cy="576831"/>
      </dsp:txXfrm>
    </dsp:sp>
    <dsp:sp modelId="{26524207-B649-4270-BF86-E64009A55C58}">
      <dsp:nvSpPr>
        <dsp:cNvPr id="0" name=""/>
        <dsp:cNvSpPr/>
      </dsp:nvSpPr>
      <dsp:spPr>
        <a:xfrm>
          <a:off x="1299054" y="1687228"/>
          <a:ext cx="1442078" cy="57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endParaRPr lang="fr-FR" sz="2100" kern="1200" dirty="0"/>
        </a:p>
      </dsp:txBody>
      <dsp:txXfrm>
        <a:off x="1299054" y="1687228"/>
        <a:ext cx="1442078" cy="576831"/>
      </dsp:txXfrm>
    </dsp:sp>
    <dsp:sp modelId="{243A82B2-CAF5-424A-856E-F9CDC3643098}">
      <dsp:nvSpPr>
        <dsp:cNvPr id="0" name=""/>
        <dsp:cNvSpPr/>
      </dsp:nvSpPr>
      <dsp:spPr>
        <a:xfrm>
          <a:off x="2596925" y="1687228"/>
          <a:ext cx="1442078" cy="5768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4011" tIns="28004" rIns="28004" bIns="28004" numCol="1" spcCol="1270" anchor="ctr" anchorCtr="0">
          <a:noAutofit/>
        </a:bodyPr>
        <a:lstStyle/>
        <a:p>
          <a:pPr lvl="0" algn="ctr" defTabSz="933450">
            <a:lnSpc>
              <a:spcPct val="90000"/>
            </a:lnSpc>
            <a:spcBef>
              <a:spcPct val="0"/>
            </a:spcBef>
            <a:spcAft>
              <a:spcPct val="35000"/>
            </a:spcAft>
          </a:pPr>
          <a:endParaRPr lang="fr-FR" sz="2100" kern="1200" dirty="0"/>
        </a:p>
      </dsp:txBody>
      <dsp:txXfrm>
        <a:off x="2596925" y="1687228"/>
        <a:ext cx="1442078" cy="5768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CCA6B736D346318CCC25112EA73B48"/>
        <w:category>
          <w:name w:val="Général"/>
          <w:gallery w:val="placeholder"/>
        </w:category>
        <w:types>
          <w:type w:val="bbPlcHdr"/>
        </w:types>
        <w:behaviors>
          <w:behavior w:val="content"/>
        </w:behaviors>
        <w:guid w:val="{7711611B-D626-4F49-B787-8494E0BF4784}"/>
      </w:docPartPr>
      <w:docPartBody>
        <w:p w:rsidR="004712BD" w:rsidRDefault="00377BE8">
          <w:pPr>
            <w:pStyle w:val="B9CCA6B736D346318CCC25112EA73B4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77BE8"/>
    <w:rsid w:val="002C50E0"/>
    <w:rsid w:val="00377BE8"/>
    <w:rsid w:val="004712BD"/>
    <w:rsid w:val="00914881"/>
    <w:rsid w:val="00A108BA"/>
    <w:rsid w:val="00BF6052"/>
    <w:rsid w:val="00E123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2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9CCA6B736D346318CCC25112EA73B48">
    <w:name w:val="B9CCA6B736D346318CCC25112EA73B48"/>
    <w:rsid w:val="004712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44</TotalTime>
  <Pages>4</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Tronc Commun</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dc:title>
  <dc:creator>Patrick Cohen</dc:creator>
  <cp:lastModifiedBy>nicolas morancy</cp:lastModifiedBy>
  <cp:revision>8</cp:revision>
  <dcterms:created xsi:type="dcterms:W3CDTF">2011-10-20T14:45:00Z</dcterms:created>
  <dcterms:modified xsi:type="dcterms:W3CDTF">2011-11-03T14:31:00Z</dcterms:modified>
</cp:coreProperties>
</file>