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551"/>
      </w:tblGrid>
      <w:tr w:rsidR="00ED68AC" w:rsidRPr="00396D66" w:rsidTr="00396D66">
        <w:trPr>
          <w:trHeight w:val="149"/>
        </w:trPr>
        <w:tc>
          <w:tcPr>
            <w:tcW w:w="3227" w:type="dxa"/>
            <w:vAlign w:val="center"/>
          </w:tcPr>
          <w:p w:rsidR="00ED68AC" w:rsidRPr="00396D66" w:rsidRDefault="00ED68AC" w:rsidP="00396D66">
            <w:pPr>
              <w:jc w:val="left"/>
              <w:rPr>
                <w:b/>
                <w:sz w:val="26"/>
                <w:szCs w:val="26"/>
              </w:rPr>
            </w:pPr>
            <w:r w:rsidRPr="00396D66">
              <w:rPr>
                <w:b/>
                <w:sz w:val="26"/>
                <w:szCs w:val="26"/>
              </w:rPr>
              <w:t>Chapitre</w:t>
            </w:r>
          </w:p>
        </w:tc>
        <w:tc>
          <w:tcPr>
            <w:tcW w:w="6551" w:type="dxa"/>
          </w:tcPr>
          <w:p w:rsidR="00ED68AC" w:rsidRPr="00396D66" w:rsidRDefault="00ED68AC" w:rsidP="00071E41">
            <w:pPr>
              <w:rPr>
                <w:b/>
                <w:sz w:val="26"/>
                <w:szCs w:val="26"/>
              </w:rPr>
            </w:pPr>
            <w:r w:rsidRPr="00396D66">
              <w:rPr>
                <w:b/>
                <w:sz w:val="26"/>
                <w:szCs w:val="26"/>
              </w:rPr>
              <w:t>1. Principes de conception des systèmes et développement durable</w:t>
            </w:r>
          </w:p>
        </w:tc>
      </w:tr>
      <w:tr w:rsidR="00ED68AC" w:rsidRPr="00396D66" w:rsidTr="00396D66">
        <w:trPr>
          <w:trHeight w:val="142"/>
        </w:trPr>
        <w:tc>
          <w:tcPr>
            <w:tcW w:w="3227" w:type="dxa"/>
          </w:tcPr>
          <w:p w:rsidR="00ED68AC" w:rsidRPr="00396D66" w:rsidRDefault="00ED68AC" w:rsidP="008C3D7F">
            <w:pPr>
              <w:rPr>
                <w:b/>
              </w:rPr>
            </w:pPr>
            <w:r w:rsidRPr="00396D66">
              <w:rPr>
                <w:b/>
              </w:rPr>
              <w:t>Objectif général de formation</w:t>
            </w:r>
          </w:p>
        </w:tc>
        <w:tc>
          <w:tcPr>
            <w:tcW w:w="6551" w:type="dxa"/>
          </w:tcPr>
          <w:p w:rsidR="00ED68AC" w:rsidRPr="00396D66" w:rsidRDefault="00ED68AC" w:rsidP="00071E41">
            <w:r w:rsidRPr="00396D66">
              <w:t>identifier les tendances d’évolution des systèmes, les concevoir en facilitant leur usage raisonné et en limitant leurs impacts environnementaux.</w:t>
            </w:r>
          </w:p>
        </w:tc>
      </w:tr>
      <w:tr w:rsidR="00ED68AC" w:rsidRPr="00396D66" w:rsidTr="00396D66">
        <w:trPr>
          <w:trHeight w:val="142"/>
        </w:trPr>
        <w:tc>
          <w:tcPr>
            <w:tcW w:w="3227" w:type="dxa"/>
          </w:tcPr>
          <w:p w:rsidR="00ED68AC" w:rsidRPr="00396D66" w:rsidRDefault="00ED68AC" w:rsidP="008C3D7F">
            <w:pPr>
              <w:rPr>
                <w:b/>
              </w:rPr>
            </w:pPr>
            <w:r w:rsidRPr="00396D66">
              <w:rPr>
                <w:b/>
              </w:rPr>
              <w:t>Paragraphe</w:t>
            </w:r>
          </w:p>
        </w:tc>
        <w:tc>
          <w:tcPr>
            <w:tcW w:w="6551" w:type="dxa"/>
          </w:tcPr>
          <w:p w:rsidR="00ED68AC" w:rsidRPr="00396D66" w:rsidRDefault="00ED68AC" w:rsidP="00071E41">
            <w:r w:rsidRPr="00396D66">
              <w:t>1.2 Éco-conception</w:t>
            </w:r>
          </w:p>
        </w:tc>
      </w:tr>
      <w:tr w:rsidR="00ED68AC" w:rsidRPr="00396D66" w:rsidTr="00396D66">
        <w:trPr>
          <w:trHeight w:val="142"/>
        </w:trPr>
        <w:tc>
          <w:tcPr>
            <w:tcW w:w="3227" w:type="dxa"/>
          </w:tcPr>
          <w:p w:rsidR="00ED68AC" w:rsidRPr="00396D66" w:rsidRDefault="00ED68AC" w:rsidP="00071E41">
            <w:pPr>
              <w:rPr>
                <w:b/>
              </w:rPr>
            </w:pPr>
            <w:r w:rsidRPr="00396D66">
              <w:rPr>
                <w:b/>
              </w:rPr>
              <w:t>Sous paragraphe</w:t>
            </w:r>
          </w:p>
        </w:tc>
        <w:tc>
          <w:tcPr>
            <w:tcW w:w="6551" w:type="dxa"/>
          </w:tcPr>
          <w:p w:rsidR="00ED68AC" w:rsidRPr="00396D66" w:rsidRDefault="00ED68AC" w:rsidP="00071E41">
            <w:r w:rsidRPr="00396D66">
              <w:t>1.2.3 Utilisation raisonnée des ressources</w:t>
            </w:r>
          </w:p>
        </w:tc>
      </w:tr>
      <w:tr w:rsidR="00ED68AC" w:rsidRPr="00396D66" w:rsidTr="00396D66">
        <w:trPr>
          <w:trHeight w:val="142"/>
        </w:trPr>
        <w:tc>
          <w:tcPr>
            <w:tcW w:w="3227" w:type="dxa"/>
          </w:tcPr>
          <w:p w:rsidR="00ED68AC" w:rsidRPr="00396D66" w:rsidRDefault="00ED68AC" w:rsidP="00071E41">
            <w:pPr>
              <w:rPr>
                <w:b/>
              </w:rPr>
            </w:pPr>
            <w:r w:rsidRPr="00396D66">
              <w:rPr>
                <w:b/>
              </w:rPr>
              <w:t>Connaissances</w:t>
            </w:r>
          </w:p>
        </w:tc>
        <w:tc>
          <w:tcPr>
            <w:tcW w:w="6551" w:type="dxa"/>
          </w:tcPr>
          <w:p w:rsidR="00ED68AC" w:rsidRPr="00396D66" w:rsidRDefault="00ED68AC" w:rsidP="007014A1">
            <w:r w:rsidRPr="00396D66">
              <w:t>Impacts environnementaux associés au cycle de vie du produit :</w:t>
            </w:r>
          </w:p>
          <w:p w:rsidR="00ED68AC" w:rsidRPr="00396D66" w:rsidRDefault="00ED68AC" w:rsidP="00396D66">
            <w:pPr>
              <w:pStyle w:val="ListParagraph"/>
              <w:numPr>
                <w:ilvl w:val="0"/>
                <w:numId w:val="2"/>
              </w:numPr>
            </w:pPr>
            <w:r w:rsidRPr="00396D66">
              <w:t>conception (optimisation des masses et des assemblages)</w:t>
            </w:r>
          </w:p>
          <w:p w:rsidR="00ED68AC" w:rsidRPr="00396D66" w:rsidRDefault="00ED68AC" w:rsidP="00396D66">
            <w:pPr>
              <w:pStyle w:val="ListParagraph"/>
              <w:numPr>
                <w:ilvl w:val="0"/>
                <w:numId w:val="2"/>
              </w:numPr>
            </w:pPr>
            <w:r w:rsidRPr="00396D66">
              <w:t>contraintes d’industrialisation, de réalisation, d’utilisation (minimisation et valorisation des pertes et des rejets) et de fin de vie</w:t>
            </w:r>
          </w:p>
          <w:p w:rsidR="00ED68AC" w:rsidRPr="00396D66" w:rsidRDefault="00ED68AC" w:rsidP="00396D66">
            <w:pPr>
              <w:pStyle w:val="ListParagraph"/>
              <w:numPr>
                <w:ilvl w:val="0"/>
                <w:numId w:val="2"/>
              </w:numPr>
            </w:pPr>
            <w:r w:rsidRPr="00396D66">
              <w:t>minimisation de la consommation énergétique</w:t>
            </w:r>
          </w:p>
        </w:tc>
      </w:tr>
      <w:tr w:rsidR="00ED68AC" w:rsidRPr="00396D66" w:rsidTr="00396D66">
        <w:trPr>
          <w:trHeight w:val="142"/>
        </w:trPr>
        <w:tc>
          <w:tcPr>
            <w:tcW w:w="3227" w:type="dxa"/>
          </w:tcPr>
          <w:p w:rsidR="00ED68AC" w:rsidRPr="00396D66" w:rsidRDefault="00ED68AC" w:rsidP="00071E41">
            <w:pPr>
              <w:rPr>
                <w:b/>
              </w:rPr>
            </w:pPr>
            <w:r w:rsidRPr="00396D66">
              <w:rPr>
                <w:b/>
              </w:rPr>
              <w:t>Niveau d’enseignement</w:t>
            </w:r>
          </w:p>
        </w:tc>
        <w:tc>
          <w:tcPr>
            <w:tcW w:w="6551" w:type="dxa"/>
          </w:tcPr>
          <w:p w:rsidR="00ED68AC" w:rsidRPr="00396D66" w:rsidRDefault="00ED68AC" w:rsidP="004A1E28">
            <w:r w:rsidRPr="00396D66">
              <w:t>Première Terminale</w:t>
            </w:r>
          </w:p>
        </w:tc>
      </w:tr>
      <w:tr w:rsidR="00ED68AC" w:rsidRPr="00396D66" w:rsidTr="00396D66">
        <w:trPr>
          <w:trHeight w:val="142"/>
        </w:trPr>
        <w:tc>
          <w:tcPr>
            <w:tcW w:w="3227" w:type="dxa"/>
          </w:tcPr>
          <w:p w:rsidR="00ED68AC" w:rsidRPr="00396D66" w:rsidRDefault="00ED68AC" w:rsidP="00071E41">
            <w:pPr>
              <w:rPr>
                <w:b/>
              </w:rPr>
            </w:pPr>
            <w:r w:rsidRPr="00396D66">
              <w:rPr>
                <w:b/>
              </w:rPr>
              <w:t>Niveau taxonomique</w:t>
            </w:r>
          </w:p>
        </w:tc>
        <w:tc>
          <w:tcPr>
            <w:tcW w:w="6551" w:type="dxa"/>
          </w:tcPr>
          <w:p w:rsidR="00ED68AC" w:rsidRPr="00396D66" w:rsidRDefault="00ED68AC" w:rsidP="00071E41">
            <w:r w:rsidRPr="00396D66">
              <w:rPr>
                <w:b/>
              </w:rPr>
              <w:t>2.</w:t>
            </w:r>
            <w:r w:rsidRPr="00396D66">
              <w:t xml:space="preserve"> Le contenu est relatif à </w:t>
            </w:r>
            <w:r w:rsidRPr="00396D66">
              <w:rPr>
                <w:b/>
              </w:rPr>
              <w:t>l’acquisition de moyens d’expression et de communication</w:t>
            </w:r>
            <w:r w:rsidRPr="00396D66">
              <w:t xml:space="preserve"> : définir, utiliser les termes composant la discipline. Il s’agit de maîtriser un savoir « appris ».</w:t>
            </w:r>
          </w:p>
        </w:tc>
      </w:tr>
      <w:tr w:rsidR="00ED68AC" w:rsidRPr="00396D66" w:rsidTr="00396D66">
        <w:trPr>
          <w:trHeight w:val="142"/>
        </w:trPr>
        <w:tc>
          <w:tcPr>
            <w:tcW w:w="3227" w:type="dxa"/>
          </w:tcPr>
          <w:p w:rsidR="00ED68AC" w:rsidRPr="00396D66" w:rsidRDefault="00ED68AC" w:rsidP="00774745">
            <w:pPr>
              <w:rPr>
                <w:b/>
              </w:rPr>
            </w:pPr>
            <w:r w:rsidRPr="00396D66">
              <w:rPr>
                <w:b/>
              </w:rPr>
              <w:t>Commentaire</w:t>
            </w:r>
          </w:p>
        </w:tc>
        <w:tc>
          <w:tcPr>
            <w:tcW w:w="6551" w:type="dxa"/>
          </w:tcPr>
          <w:p w:rsidR="00ED68AC" w:rsidRPr="00396D66" w:rsidRDefault="00ED68AC" w:rsidP="004D746A">
            <w:pPr>
              <w:rPr>
                <w:i/>
              </w:rPr>
            </w:pPr>
            <w:r w:rsidRPr="00396D66">
              <w:rPr>
                <w:i/>
              </w:rPr>
              <w:t>Approche comparative sur des cas d’optimisation. Ce concept est abordé à l’occasion d’études de dossiers technologiques globales portant sur les différents champs technologiques.</w:t>
            </w:r>
          </w:p>
          <w:p w:rsidR="00ED68AC" w:rsidRPr="00396D66" w:rsidRDefault="00ED68AC" w:rsidP="004D746A">
            <w:pPr>
              <w:rPr>
                <w:i/>
              </w:rPr>
            </w:pPr>
            <w:r w:rsidRPr="00396D66">
              <w:rPr>
                <w:i/>
              </w:rPr>
              <w:t>On peut ainsi établir un bilan carbone des principaux matériaux isolants dans un habitat, évaluer l’impact environnemental d’une structure de bâtiment d’un point de vue consommation énergétique, analyser le recyclage des solutions de stockage d’énergie et de production d’énergie renouvelable, analyser les solutions de recyclage des matériaux et de déconstruction d’un produit.</w:t>
            </w:r>
          </w:p>
          <w:p w:rsidR="00ED68AC" w:rsidRPr="00396D66" w:rsidRDefault="00ED68AC" w:rsidP="004D746A">
            <w:pPr>
              <w:rPr>
                <w:i/>
              </w:rPr>
            </w:pPr>
            <w:r w:rsidRPr="00396D66">
              <w:rPr>
                <w:i/>
              </w:rPr>
              <w:t>Concernant l’apport de la chaîne d’information, on s’appuie sur les spécifications normalisées (pollutions conduite et rayonnée) en vigueur au moment de l’étude. On peut montrer que la chaîne d’information permet un usage raisonné des matières d’œuvre et donc limite les impacts par une gestion des ressources.</w:t>
            </w:r>
          </w:p>
        </w:tc>
      </w:tr>
      <w:tr w:rsidR="00ED68AC" w:rsidRPr="00396D66" w:rsidTr="00396D66">
        <w:trPr>
          <w:trHeight w:val="142"/>
        </w:trPr>
        <w:tc>
          <w:tcPr>
            <w:tcW w:w="3227" w:type="dxa"/>
          </w:tcPr>
          <w:p w:rsidR="00ED68AC" w:rsidRPr="00396D66" w:rsidRDefault="00ED68AC" w:rsidP="00774745">
            <w:pPr>
              <w:rPr>
                <w:b/>
              </w:rPr>
            </w:pPr>
            <w:r w:rsidRPr="00396D66">
              <w:rPr>
                <w:b/>
              </w:rPr>
              <w:t>Liens</w:t>
            </w:r>
          </w:p>
        </w:tc>
        <w:tc>
          <w:tcPr>
            <w:tcW w:w="6551" w:type="dxa"/>
          </w:tcPr>
          <w:p w:rsidR="00ED68AC" w:rsidRPr="00396D66" w:rsidRDefault="00ED68AC" w:rsidP="00071E41"/>
        </w:tc>
      </w:tr>
    </w:tbl>
    <w:p w:rsidR="00ED68AC" w:rsidRDefault="00ED68AC" w:rsidP="008C3D7F"/>
    <w:p w:rsidR="00ED68AC" w:rsidRDefault="00ED68AC" w:rsidP="00AF69DE">
      <w:pPr>
        <w:jc w:val="left"/>
      </w:pPr>
    </w:p>
    <w:p w:rsidR="00ED68AC" w:rsidRDefault="00ED68AC" w:rsidP="00452602">
      <w:pPr>
        <w:ind w:firstLine="708"/>
        <w:jc w:val="left"/>
        <w:rPr>
          <w:szCs w:val="20"/>
        </w:rPr>
      </w:pPr>
      <w:r>
        <w:t>Cycle de vie :</w:t>
      </w:r>
      <w:r w:rsidRPr="00AF69DE">
        <w:rPr>
          <w:szCs w:val="20"/>
        </w:rPr>
        <w:t xml:space="preserve"> </w:t>
      </w:r>
      <w:r>
        <w:rPr>
          <w:szCs w:val="20"/>
        </w:rPr>
        <w:t>Le cycle de vie d'un produit prend en compte toutes les activités qui entrent en jeu dans la fabrication, l'utilisation, le transport et l'élimination de ce produit. Le cycle de vie est généralement illustré comme une série d'étapes, depuis la production (extraction et récolte des matières premières) jusqu'à l’évacuation finale (élimination ou valorisation), en passant par la fabrication, l'emballage, le transport, la consommation par les ménages et les industries et le recyclage ou élimination.</w:t>
      </w:r>
      <w:r>
        <w:rPr>
          <w:szCs w:val="20"/>
        </w:rPr>
        <w:br/>
        <w:t>C'est la base de l'éco-conception</w:t>
      </w:r>
      <w:r>
        <w:rPr>
          <w:szCs w:val="20"/>
        </w:rPr>
        <w:br/>
        <w:t>L'analyse du cycle de vie d'un produit permet de réaliser les éco-bilans.</w:t>
      </w:r>
    </w:p>
    <w:p w:rsidR="00ED68AC" w:rsidRDefault="00ED68AC" w:rsidP="00AF69DE">
      <w:pPr>
        <w:jc w:val="left"/>
        <w:rPr>
          <w:szCs w:val="20"/>
        </w:rPr>
      </w:pPr>
    </w:p>
    <w:p w:rsidR="00ED68AC" w:rsidRPr="00452602" w:rsidRDefault="00ED68AC" w:rsidP="00452602">
      <w:pPr>
        <w:pStyle w:val="NormalWeb"/>
        <w:ind w:firstLine="708"/>
        <w:rPr>
          <w:rFonts w:ascii="Arial" w:hAnsi="Arial" w:cs="Arial"/>
          <w:sz w:val="20"/>
          <w:szCs w:val="20"/>
        </w:rPr>
      </w:pPr>
      <w:r w:rsidRPr="00452602">
        <w:rPr>
          <w:rFonts w:ascii="Arial" w:hAnsi="Arial" w:cs="Arial"/>
          <w:sz w:val="20"/>
          <w:szCs w:val="20"/>
        </w:rPr>
        <w:t>Impacts environnementaux : Ensemble des modifications qualitatives, quantitatives et fonctionnelles de l'environnement (négatives ou positives) engendrées par un projet, un processus, un procédé, un ou des organismes et un ou des produits, de sa conception à sa "</w:t>
      </w:r>
      <w:r w:rsidRPr="00452602">
        <w:rPr>
          <w:rFonts w:ascii="Arial" w:hAnsi="Arial" w:cs="Arial"/>
          <w:i/>
          <w:iCs/>
          <w:sz w:val="20"/>
          <w:szCs w:val="20"/>
        </w:rPr>
        <w:t>fin de vie</w:t>
      </w:r>
      <w:r w:rsidRPr="00452602">
        <w:rPr>
          <w:rFonts w:ascii="Arial" w:hAnsi="Arial" w:cs="Arial"/>
          <w:sz w:val="20"/>
          <w:szCs w:val="20"/>
        </w:rPr>
        <w:t>".</w:t>
      </w:r>
    </w:p>
    <w:p w:rsidR="00ED68AC" w:rsidRPr="00452602" w:rsidRDefault="00ED68AC" w:rsidP="00452602">
      <w:pPr>
        <w:pStyle w:val="NormalWeb"/>
        <w:ind w:firstLine="708"/>
        <w:rPr>
          <w:rFonts w:ascii="Arial" w:hAnsi="Arial" w:cs="Arial"/>
          <w:sz w:val="20"/>
          <w:szCs w:val="20"/>
        </w:rPr>
      </w:pPr>
      <w:r w:rsidRPr="00452602">
        <w:rPr>
          <w:rFonts w:ascii="Arial" w:hAnsi="Arial" w:cs="Arial"/>
          <w:sz w:val="20"/>
          <w:szCs w:val="20"/>
        </w:rPr>
        <w:t xml:space="preserve">L'étude de l'impact environnemental est un outil utilisé par la </w:t>
      </w:r>
      <w:r w:rsidRPr="00C50C03">
        <w:rPr>
          <w:rFonts w:ascii="Arial" w:hAnsi="Arial" w:cs="Arial"/>
          <w:color w:val="FF0000"/>
          <w:sz w:val="20"/>
          <w:szCs w:val="20"/>
        </w:rPr>
        <w:t>norme ISO 14001</w:t>
      </w:r>
      <w:r w:rsidRPr="00452602">
        <w:rPr>
          <w:rFonts w:ascii="Arial" w:hAnsi="Arial" w:cs="Arial"/>
          <w:sz w:val="20"/>
          <w:szCs w:val="20"/>
        </w:rPr>
        <w:t xml:space="preserve"> et pour faire une analyse du cycle de vie</w:t>
      </w:r>
      <w:r w:rsidRPr="00452602">
        <w:t>.</w:t>
      </w:r>
    </w:p>
    <w:p w:rsidR="00ED68AC" w:rsidRDefault="00ED68AC" w:rsidP="00AF69DE">
      <w:pPr>
        <w:jc w:val="left"/>
        <w:rPr>
          <w:szCs w:val="20"/>
        </w:rPr>
      </w:pPr>
    </w:p>
    <w:p w:rsidR="00ED68AC" w:rsidRPr="00D11625" w:rsidRDefault="00ED68AC" w:rsidP="00AF69DE">
      <w:pPr>
        <w:jc w:val="left"/>
        <w:rPr>
          <w:szCs w:val="20"/>
        </w:rPr>
      </w:pPr>
      <w:r>
        <w:rPr>
          <w:szCs w:val="20"/>
        </w:rPr>
        <w:t>Un bon outil pour quantifier « la monétarisation des impacts environnementaux ».</w:t>
      </w:r>
    </w:p>
    <w:sectPr w:rsidR="00ED68AC" w:rsidRPr="00D11625"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AC" w:rsidRDefault="00ED68AC" w:rsidP="008C3D7F">
      <w:r>
        <w:separator/>
      </w:r>
    </w:p>
  </w:endnote>
  <w:endnote w:type="continuationSeparator" w:id="0">
    <w:p w:rsidR="00ED68AC" w:rsidRDefault="00ED68AC"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AC" w:rsidRDefault="00ED68AC" w:rsidP="00396D66">
    <w:pPr>
      <w:pStyle w:val="Footer"/>
      <w:pBdr>
        <w:top w:val="thinThickSmallGap" w:sz="24" w:space="1" w:color="622423"/>
      </w:pBdr>
      <w:tabs>
        <w:tab w:val="clear" w:pos="4536"/>
        <w:tab w:val="clear" w:pos="9072"/>
        <w:tab w:val="right" w:pos="9638"/>
      </w:tabs>
      <w:rPr>
        <w:rFonts w:ascii="Cambria" w:hAnsi="Cambria"/>
      </w:rPr>
    </w:pPr>
    <w:r>
      <w:t>T.C.-1.2.3_2</w:t>
    </w:r>
    <w:r w:rsidRPr="00AD44D3">
      <w:rPr>
        <w:rFonts w:cs="Arial"/>
      </w:rPr>
      <w:tab/>
      <w:t>Page</w:t>
    </w:r>
    <w:r>
      <w:rPr>
        <w:rFonts w:ascii="Cambria" w:hAnsi="Cambria"/>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Pr>
        <w:rFonts w:cs="Arial"/>
        <w:noProof/>
      </w:rPr>
      <w:t>1</w:t>
    </w:r>
    <w:r w:rsidRPr="00AD44D3">
      <w:rPr>
        <w:rFonts w:cs="Arial"/>
      </w:rPr>
      <w:fldChar w:fldCharType="end"/>
    </w:r>
  </w:p>
  <w:p w:rsidR="00ED68AC" w:rsidRDefault="00ED6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AC" w:rsidRDefault="00ED68AC" w:rsidP="008C3D7F">
      <w:r>
        <w:separator/>
      </w:r>
    </w:p>
  </w:footnote>
  <w:footnote w:type="continuationSeparator" w:id="0">
    <w:p w:rsidR="00ED68AC" w:rsidRDefault="00ED68AC"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AC" w:rsidRPr="008C3D7F" w:rsidRDefault="00ED68AC">
    <w:pPr>
      <w:pStyle w:val="Header"/>
      <w:pBdr>
        <w:bottom w:val="thickThinSmallGap" w:sz="24" w:space="1" w:color="622423"/>
      </w:pBdr>
      <w:jc w:val="center"/>
      <w:rPr>
        <w:rFonts w:ascii="Cambria" w:hAnsi="Cambria"/>
        <w:sz w:val="48"/>
        <w:szCs w:val="32"/>
      </w:rPr>
    </w:pPr>
    <w:r>
      <w:rPr>
        <w:b/>
        <w:sz w:val="32"/>
      </w:rPr>
      <w:t>Tronc Commun</w:t>
    </w:r>
  </w:p>
  <w:p w:rsidR="00ED68AC" w:rsidRDefault="00ED68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298D"/>
    <w:multiLevelType w:val="hybridMultilevel"/>
    <w:tmpl w:val="64D474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7BA003A8"/>
    <w:multiLevelType w:val="hybridMultilevel"/>
    <w:tmpl w:val="EF3099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990"/>
    <w:rsid w:val="00071E41"/>
    <w:rsid w:val="00081DF0"/>
    <w:rsid w:val="000873BC"/>
    <w:rsid w:val="000C03AD"/>
    <w:rsid w:val="001C4AE6"/>
    <w:rsid w:val="00281D84"/>
    <w:rsid w:val="00396D66"/>
    <w:rsid w:val="003970BE"/>
    <w:rsid w:val="003C4409"/>
    <w:rsid w:val="003F6990"/>
    <w:rsid w:val="00406F9C"/>
    <w:rsid w:val="00452602"/>
    <w:rsid w:val="004532F1"/>
    <w:rsid w:val="00456A5E"/>
    <w:rsid w:val="00471794"/>
    <w:rsid w:val="00477312"/>
    <w:rsid w:val="004A1E28"/>
    <w:rsid w:val="004D746A"/>
    <w:rsid w:val="004E2005"/>
    <w:rsid w:val="005229D4"/>
    <w:rsid w:val="00525A22"/>
    <w:rsid w:val="00534EC3"/>
    <w:rsid w:val="00550D8C"/>
    <w:rsid w:val="005F6D16"/>
    <w:rsid w:val="00620B13"/>
    <w:rsid w:val="00664157"/>
    <w:rsid w:val="0066483B"/>
    <w:rsid w:val="00674577"/>
    <w:rsid w:val="006B4A6F"/>
    <w:rsid w:val="006B542A"/>
    <w:rsid w:val="007014A1"/>
    <w:rsid w:val="00774745"/>
    <w:rsid w:val="007F7F53"/>
    <w:rsid w:val="00846E5B"/>
    <w:rsid w:val="0086188F"/>
    <w:rsid w:val="00866466"/>
    <w:rsid w:val="008B62B5"/>
    <w:rsid w:val="008C3D7F"/>
    <w:rsid w:val="00917FEA"/>
    <w:rsid w:val="00A07C2A"/>
    <w:rsid w:val="00A349AA"/>
    <w:rsid w:val="00A6702D"/>
    <w:rsid w:val="00AB3B32"/>
    <w:rsid w:val="00AD44D3"/>
    <w:rsid w:val="00AF69DE"/>
    <w:rsid w:val="00B5767B"/>
    <w:rsid w:val="00BA04E4"/>
    <w:rsid w:val="00BB6ACF"/>
    <w:rsid w:val="00BF2BE5"/>
    <w:rsid w:val="00C50C03"/>
    <w:rsid w:val="00C84523"/>
    <w:rsid w:val="00D11625"/>
    <w:rsid w:val="00D30092"/>
    <w:rsid w:val="00D435C0"/>
    <w:rsid w:val="00D61259"/>
    <w:rsid w:val="00D64037"/>
    <w:rsid w:val="00DD2F7D"/>
    <w:rsid w:val="00ED68AC"/>
    <w:rsid w:val="00EE66AF"/>
    <w:rsid w:val="00F2031A"/>
    <w:rsid w:val="00F2697B"/>
    <w:rsid w:val="00F75ED4"/>
    <w:rsid w:val="00FA64CF"/>
    <w:rsid w:val="00FF021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pPr>
      <w:jc w:val="both"/>
    </w:pPr>
    <w:rPr>
      <w:sz w:val="2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C3D7F"/>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99"/>
    <w:locked/>
    <w:rsid w:val="008C3D7F"/>
    <w:rPr>
      <w:rFonts w:eastAsia="Times New Roman" w:cs="Times New Roman"/>
      <w:spacing w:val="5"/>
      <w:kern w:val="28"/>
      <w:sz w:val="52"/>
      <w:szCs w:val="52"/>
    </w:rPr>
  </w:style>
  <w:style w:type="paragraph" w:styleId="Header">
    <w:name w:val="header"/>
    <w:basedOn w:val="Normal"/>
    <w:link w:val="HeaderChar"/>
    <w:uiPriority w:val="99"/>
    <w:rsid w:val="008C3D7F"/>
    <w:pPr>
      <w:tabs>
        <w:tab w:val="center" w:pos="4536"/>
        <w:tab w:val="right" w:pos="9072"/>
      </w:tabs>
    </w:pPr>
  </w:style>
  <w:style w:type="character" w:customStyle="1" w:styleId="HeaderChar">
    <w:name w:val="Header Char"/>
    <w:basedOn w:val="DefaultParagraphFont"/>
    <w:link w:val="Header"/>
    <w:uiPriority w:val="99"/>
    <w:locked/>
    <w:rsid w:val="008C3D7F"/>
    <w:rPr>
      <w:rFonts w:cs="Times New Roman"/>
    </w:rPr>
  </w:style>
  <w:style w:type="paragraph" w:styleId="Footer">
    <w:name w:val="footer"/>
    <w:basedOn w:val="Normal"/>
    <w:link w:val="FooterChar"/>
    <w:uiPriority w:val="99"/>
    <w:rsid w:val="008C3D7F"/>
    <w:pPr>
      <w:tabs>
        <w:tab w:val="center" w:pos="4536"/>
        <w:tab w:val="right" w:pos="9072"/>
      </w:tabs>
    </w:pPr>
  </w:style>
  <w:style w:type="character" w:customStyle="1" w:styleId="FooterChar">
    <w:name w:val="Footer Char"/>
    <w:basedOn w:val="DefaultParagraphFont"/>
    <w:link w:val="Footer"/>
    <w:uiPriority w:val="99"/>
    <w:locked/>
    <w:rsid w:val="008C3D7F"/>
    <w:rPr>
      <w:rFonts w:cs="Times New Roman"/>
    </w:rPr>
  </w:style>
  <w:style w:type="paragraph" w:styleId="BalloonText">
    <w:name w:val="Balloon Text"/>
    <w:basedOn w:val="Normal"/>
    <w:link w:val="BalloonTextChar"/>
    <w:uiPriority w:val="99"/>
    <w:semiHidden/>
    <w:rsid w:val="008C3D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D7F"/>
    <w:rPr>
      <w:rFonts w:ascii="Tahoma" w:hAnsi="Tahoma" w:cs="Tahoma"/>
      <w:sz w:val="16"/>
      <w:szCs w:val="16"/>
    </w:rPr>
  </w:style>
  <w:style w:type="table" w:styleId="TableGrid">
    <w:name w:val="Table Grid"/>
    <w:basedOn w:val="TableNormal"/>
    <w:uiPriority w:val="99"/>
    <w:rsid w:val="008C3D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71794"/>
    <w:pPr>
      <w:ind w:left="720"/>
      <w:contextualSpacing/>
    </w:pPr>
  </w:style>
  <w:style w:type="character" w:styleId="Hyperlink">
    <w:name w:val="Hyperlink"/>
    <w:basedOn w:val="DefaultParagraphFont"/>
    <w:uiPriority w:val="99"/>
    <w:rsid w:val="00A07C2A"/>
    <w:rPr>
      <w:rFonts w:cs="Times New Roman"/>
      <w:color w:val="0000FF"/>
      <w:u w:val="single"/>
    </w:rPr>
  </w:style>
  <w:style w:type="paragraph" w:styleId="NormalWeb">
    <w:name w:val="Normal (Web)"/>
    <w:basedOn w:val="Normal"/>
    <w:uiPriority w:val="99"/>
    <w:rsid w:val="00A07C2A"/>
    <w:pPr>
      <w:spacing w:before="100" w:beforeAutospacing="1" w:after="100" w:afterAutospacing="1"/>
      <w:jc w:val="left"/>
    </w:pPr>
    <w:rPr>
      <w:rFonts w:ascii="Times New Roman" w:hAnsi="Times New Roman"/>
      <w:sz w:val="24"/>
      <w:lang w:eastAsia="fr-FR"/>
    </w:rPr>
  </w:style>
</w:styles>
</file>

<file path=word/webSettings.xml><?xml version="1.0" encoding="utf-8"?>
<w:webSettings xmlns:r="http://schemas.openxmlformats.org/officeDocument/2006/relationships" xmlns:w="http://schemas.openxmlformats.org/wordprocessingml/2006/main">
  <w:divs>
    <w:div w:id="1348559259">
      <w:marLeft w:val="0"/>
      <w:marRight w:val="0"/>
      <w:marTop w:val="0"/>
      <w:marBottom w:val="0"/>
      <w:divBdr>
        <w:top w:val="none" w:sz="0" w:space="0" w:color="auto"/>
        <w:left w:val="none" w:sz="0" w:space="0" w:color="auto"/>
        <w:bottom w:val="none" w:sz="0" w:space="0" w:color="auto"/>
        <w:right w:val="none" w:sz="0" w:space="0" w:color="auto"/>
      </w:divBdr>
      <w:divsChild>
        <w:div w:id="1348559258">
          <w:marLeft w:val="0"/>
          <w:marRight w:val="0"/>
          <w:marTop w:val="0"/>
          <w:marBottom w:val="0"/>
          <w:divBdr>
            <w:top w:val="none" w:sz="0" w:space="0" w:color="auto"/>
            <w:left w:val="none" w:sz="0" w:space="0" w:color="auto"/>
            <w:bottom w:val="none" w:sz="0" w:space="0" w:color="auto"/>
            <w:right w:val="none" w:sz="0" w:space="0" w:color="auto"/>
          </w:divBdr>
          <w:divsChild>
            <w:div w:id="1348559261">
              <w:marLeft w:val="0"/>
              <w:marRight w:val="0"/>
              <w:marTop w:val="0"/>
              <w:marBottom w:val="0"/>
              <w:divBdr>
                <w:top w:val="none" w:sz="0" w:space="0" w:color="auto"/>
                <w:left w:val="none" w:sz="0" w:space="0" w:color="auto"/>
                <w:bottom w:val="none" w:sz="0" w:space="0" w:color="auto"/>
                <w:right w:val="none" w:sz="0" w:space="0" w:color="auto"/>
              </w:divBdr>
              <w:divsChild>
                <w:div w:id="13485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12</TotalTime>
  <Pages>1</Pages>
  <Words>446</Words>
  <Characters>2457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subject/>
  <dc:creator>Patrick Cohen</dc:creator>
  <cp:keywords/>
  <dc:description/>
  <cp:lastModifiedBy>laurent</cp:lastModifiedBy>
  <cp:revision>9</cp:revision>
  <dcterms:created xsi:type="dcterms:W3CDTF">2011-11-08T11:00:00Z</dcterms:created>
  <dcterms:modified xsi:type="dcterms:W3CDTF">2011-11-12T21:05:00Z</dcterms:modified>
</cp:coreProperties>
</file>