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D95500" w:rsidRPr="005269D6" w:rsidTr="005269D6">
        <w:trPr>
          <w:trHeight w:val="149"/>
        </w:trPr>
        <w:tc>
          <w:tcPr>
            <w:tcW w:w="3227" w:type="dxa"/>
          </w:tcPr>
          <w:p w:rsidR="00D95500" w:rsidRPr="005269D6" w:rsidRDefault="00D95500" w:rsidP="00071E41">
            <w:pPr>
              <w:rPr>
                <w:b/>
                <w:sz w:val="26"/>
                <w:szCs w:val="26"/>
              </w:rPr>
            </w:pPr>
            <w:r w:rsidRPr="005269D6">
              <w:rPr>
                <w:b/>
                <w:sz w:val="26"/>
                <w:szCs w:val="26"/>
              </w:rPr>
              <w:t>Chapitre</w:t>
            </w:r>
          </w:p>
        </w:tc>
        <w:tc>
          <w:tcPr>
            <w:tcW w:w="6551" w:type="dxa"/>
            <w:vAlign w:val="center"/>
          </w:tcPr>
          <w:p w:rsidR="00D95500" w:rsidRPr="005269D6" w:rsidRDefault="00D95500" w:rsidP="005269D6">
            <w:pPr>
              <w:jc w:val="left"/>
              <w:rPr>
                <w:b/>
              </w:rPr>
            </w:pPr>
            <w:r w:rsidRPr="005269D6">
              <w:rPr>
                <w:b/>
              </w:rPr>
              <w:t>3. Solutions technologiques</w:t>
            </w:r>
          </w:p>
        </w:tc>
      </w:tr>
      <w:tr w:rsidR="00D95500" w:rsidRPr="005269D6" w:rsidTr="005269D6">
        <w:trPr>
          <w:trHeight w:val="142"/>
        </w:trPr>
        <w:tc>
          <w:tcPr>
            <w:tcW w:w="3227" w:type="dxa"/>
          </w:tcPr>
          <w:p w:rsidR="00D95500" w:rsidRPr="005269D6" w:rsidRDefault="00D95500" w:rsidP="008C3D7F">
            <w:pPr>
              <w:rPr>
                <w:b/>
              </w:rPr>
            </w:pPr>
            <w:r w:rsidRPr="005269D6">
              <w:rPr>
                <w:b/>
              </w:rPr>
              <w:t>Objectif général de formation</w:t>
            </w:r>
          </w:p>
        </w:tc>
        <w:tc>
          <w:tcPr>
            <w:tcW w:w="6551" w:type="dxa"/>
          </w:tcPr>
          <w:p w:rsidR="00D95500" w:rsidRPr="005269D6" w:rsidRDefault="00D95500" w:rsidP="005269D6">
            <w:pPr>
              <w:pStyle w:val="ListParagraph"/>
              <w:numPr>
                <w:ilvl w:val="0"/>
                <w:numId w:val="1"/>
              </w:numPr>
            </w:pPr>
            <w:r w:rsidRPr="005269D6">
              <w:t xml:space="preserve">Identifier une solution technique, </w:t>
            </w:r>
          </w:p>
          <w:p w:rsidR="00D95500" w:rsidRPr="005269D6" w:rsidRDefault="00D95500" w:rsidP="005269D6">
            <w:pPr>
              <w:pStyle w:val="ListParagraph"/>
              <w:numPr>
                <w:ilvl w:val="0"/>
                <w:numId w:val="1"/>
              </w:numPr>
            </w:pPr>
            <w:r w:rsidRPr="005269D6">
              <w:t>Développer une culture des solutions technologiques.</w:t>
            </w:r>
          </w:p>
        </w:tc>
      </w:tr>
      <w:tr w:rsidR="00D95500" w:rsidRPr="005269D6" w:rsidTr="005269D6">
        <w:trPr>
          <w:trHeight w:val="142"/>
        </w:trPr>
        <w:tc>
          <w:tcPr>
            <w:tcW w:w="3227" w:type="dxa"/>
          </w:tcPr>
          <w:p w:rsidR="00D95500" w:rsidRPr="005269D6" w:rsidRDefault="00D95500" w:rsidP="008C3D7F">
            <w:pPr>
              <w:rPr>
                <w:b/>
              </w:rPr>
            </w:pPr>
            <w:r w:rsidRPr="005269D6">
              <w:rPr>
                <w:b/>
              </w:rPr>
              <w:t>Paragraphe</w:t>
            </w:r>
          </w:p>
        </w:tc>
        <w:tc>
          <w:tcPr>
            <w:tcW w:w="6551" w:type="dxa"/>
          </w:tcPr>
          <w:p w:rsidR="00D95500" w:rsidRPr="005269D6" w:rsidRDefault="00D95500" w:rsidP="00071E41">
            <w:r w:rsidRPr="005269D6">
              <w:t>3.2 Constituants d’un système</w:t>
            </w:r>
          </w:p>
        </w:tc>
      </w:tr>
      <w:tr w:rsidR="00D95500" w:rsidRPr="005269D6" w:rsidTr="005269D6">
        <w:trPr>
          <w:trHeight w:val="142"/>
        </w:trPr>
        <w:tc>
          <w:tcPr>
            <w:tcW w:w="3227" w:type="dxa"/>
          </w:tcPr>
          <w:p w:rsidR="00D95500" w:rsidRPr="005269D6" w:rsidRDefault="00D95500" w:rsidP="00071E41">
            <w:pPr>
              <w:rPr>
                <w:b/>
              </w:rPr>
            </w:pPr>
            <w:r w:rsidRPr="005269D6">
              <w:rPr>
                <w:b/>
              </w:rPr>
              <w:t>Sous paragraphe</w:t>
            </w:r>
          </w:p>
        </w:tc>
        <w:tc>
          <w:tcPr>
            <w:tcW w:w="6551" w:type="dxa"/>
          </w:tcPr>
          <w:p w:rsidR="00D95500" w:rsidRPr="005269D6" w:rsidRDefault="00D95500" w:rsidP="00071E41">
            <w:r w:rsidRPr="005269D6">
              <w:t>3.2.2 Stockage d’énergie</w:t>
            </w:r>
          </w:p>
        </w:tc>
      </w:tr>
      <w:tr w:rsidR="00D95500" w:rsidRPr="005269D6" w:rsidTr="005269D6">
        <w:trPr>
          <w:trHeight w:val="142"/>
        </w:trPr>
        <w:tc>
          <w:tcPr>
            <w:tcW w:w="3227" w:type="dxa"/>
          </w:tcPr>
          <w:p w:rsidR="00D95500" w:rsidRPr="005269D6" w:rsidRDefault="00D95500" w:rsidP="00071E41">
            <w:pPr>
              <w:rPr>
                <w:b/>
              </w:rPr>
            </w:pPr>
            <w:r w:rsidRPr="005269D6">
              <w:rPr>
                <w:b/>
              </w:rPr>
              <w:t>Connaissances</w:t>
            </w:r>
          </w:p>
        </w:tc>
        <w:tc>
          <w:tcPr>
            <w:tcW w:w="6551" w:type="dxa"/>
          </w:tcPr>
          <w:p w:rsidR="00D95500" w:rsidRPr="005269D6" w:rsidRDefault="00D95500" w:rsidP="001A7BF0">
            <w:r w:rsidRPr="005269D6">
              <w:t>Constituants permettant le stockage sous forme :</w:t>
            </w:r>
          </w:p>
          <w:p w:rsidR="00D95500" w:rsidRPr="005269D6" w:rsidRDefault="00D95500" w:rsidP="005269D6">
            <w:pPr>
              <w:pStyle w:val="ListParagraph"/>
              <w:numPr>
                <w:ilvl w:val="0"/>
                <w:numId w:val="2"/>
              </w:numPr>
            </w:pPr>
            <w:r w:rsidRPr="005269D6">
              <w:t>mécanique, hydraulique ou pneumatique : sous forme potentielle et/ou cinétique</w:t>
            </w:r>
          </w:p>
          <w:p w:rsidR="00D95500" w:rsidRPr="005269D6" w:rsidRDefault="00D95500" w:rsidP="005269D6">
            <w:pPr>
              <w:pStyle w:val="ListParagraph"/>
              <w:numPr>
                <w:ilvl w:val="0"/>
                <w:numId w:val="2"/>
              </w:numPr>
            </w:pPr>
            <w:r w:rsidRPr="005269D6">
              <w:t>chimique : piles et accumulateurs, combustibles, carburants, comburants</w:t>
            </w:r>
          </w:p>
          <w:p w:rsidR="00D95500" w:rsidRPr="005269D6" w:rsidRDefault="00D95500" w:rsidP="005269D6">
            <w:pPr>
              <w:pStyle w:val="ListParagraph"/>
              <w:numPr>
                <w:ilvl w:val="0"/>
                <w:numId w:val="2"/>
              </w:numPr>
            </w:pPr>
            <w:r w:rsidRPr="005269D6">
              <w:t>électrostatique : condensateur et super condensateur</w:t>
            </w:r>
          </w:p>
          <w:p w:rsidR="00D95500" w:rsidRPr="005269D6" w:rsidRDefault="00D95500" w:rsidP="005269D6">
            <w:pPr>
              <w:pStyle w:val="ListParagraph"/>
              <w:numPr>
                <w:ilvl w:val="0"/>
                <w:numId w:val="2"/>
              </w:numPr>
            </w:pPr>
            <w:r w:rsidRPr="005269D6">
              <w:t>électromagnétique</w:t>
            </w:r>
          </w:p>
          <w:p w:rsidR="00D95500" w:rsidRPr="005269D6" w:rsidRDefault="00D95500" w:rsidP="005269D6">
            <w:pPr>
              <w:pStyle w:val="ListParagraph"/>
              <w:numPr>
                <w:ilvl w:val="0"/>
                <w:numId w:val="2"/>
              </w:numPr>
            </w:pPr>
            <w:r w:rsidRPr="005269D6">
              <w:t>thermique : chaleur latente et chaleur sensible</w:t>
            </w:r>
          </w:p>
        </w:tc>
      </w:tr>
      <w:tr w:rsidR="00D95500" w:rsidRPr="005269D6" w:rsidTr="005269D6">
        <w:trPr>
          <w:trHeight w:val="142"/>
        </w:trPr>
        <w:tc>
          <w:tcPr>
            <w:tcW w:w="3227" w:type="dxa"/>
          </w:tcPr>
          <w:p w:rsidR="00D95500" w:rsidRPr="005269D6" w:rsidRDefault="00D95500" w:rsidP="00071E41">
            <w:pPr>
              <w:rPr>
                <w:b/>
              </w:rPr>
            </w:pPr>
            <w:r w:rsidRPr="005269D6">
              <w:rPr>
                <w:b/>
              </w:rPr>
              <w:t>Niveau d’enseignement</w:t>
            </w:r>
          </w:p>
        </w:tc>
        <w:tc>
          <w:tcPr>
            <w:tcW w:w="6551" w:type="dxa"/>
          </w:tcPr>
          <w:p w:rsidR="00D95500" w:rsidRPr="005269D6" w:rsidRDefault="00D95500" w:rsidP="00071E41">
            <w:r w:rsidRPr="005269D6">
              <w:t>Première Terminale</w:t>
            </w:r>
          </w:p>
        </w:tc>
      </w:tr>
      <w:tr w:rsidR="00D95500" w:rsidRPr="005269D6" w:rsidTr="005269D6">
        <w:trPr>
          <w:trHeight w:val="142"/>
        </w:trPr>
        <w:tc>
          <w:tcPr>
            <w:tcW w:w="3227" w:type="dxa"/>
          </w:tcPr>
          <w:p w:rsidR="00D95500" w:rsidRPr="005269D6" w:rsidRDefault="00D95500" w:rsidP="00071E41">
            <w:pPr>
              <w:rPr>
                <w:b/>
              </w:rPr>
            </w:pPr>
            <w:r w:rsidRPr="005269D6">
              <w:rPr>
                <w:b/>
              </w:rPr>
              <w:t>Niveau taxonomique</w:t>
            </w:r>
          </w:p>
        </w:tc>
        <w:tc>
          <w:tcPr>
            <w:tcW w:w="6551" w:type="dxa"/>
          </w:tcPr>
          <w:p w:rsidR="00D95500" w:rsidRPr="005269D6" w:rsidRDefault="00D95500" w:rsidP="00071E41">
            <w:r w:rsidRPr="005269D6">
              <w:rPr>
                <w:b/>
              </w:rPr>
              <w:t>2.</w:t>
            </w:r>
            <w:r w:rsidRPr="005269D6">
              <w:t xml:space="preserve"> Le contenu est relatif à </w:t>
            </w:r>
            <w:r w:rsidRPr="005269D6">
              <w:rPr>
                <w:b/>
              </w:rPr>
              <w:t>l’acquisition de moyens d’expression et de communication</w:t>
            </w:r>
            <w:r w:rsidRPr="005269D6">
              <w:t xml:space="preserve"> : définir, utiliser les termes composant la discipline. Il s’agit de maîtriser un savoir « appris ».</w:t>
            </w:r>
          </w:p>
        </w:tc>
      </w:tr>
      <w:tr w:rsidR="00D95500" w:rsidRPr="005269D6" w:rsidTr="005269D6">
        <w:trPr>
          <w:trHeight w:val="142"/>
        </w:trPr>
        <w:tc>
          <w:tcPr>
            <w:tcW w:w="3227" w:type="dxa"/>
          </w:tcPr>
          <w:p w:rsidR="00D95500" w:rsidRPr="005269D6" w:rsidRDefault="00D95500" w:rsidP="00774745">
            <w:pPr>
              <w:rPr>
                <w:b/>
              </w:rPr>
            </w:pPr>
            <w:r w:rsidRPr="005269D6">
              <w:rPr>
                <w:b/>
              </w:rPr>
              <w:t>Commentaire</w:t>
            </w:r>
          </w:p>
        </w:tc>
        <w:tc>
          <w:tcPr>
            <w:tcW w:w="6551" w:type="dxa"/>
          </w:tcPr>
          <w:p w:rsidR="00D95500" w:rsidRPr="005269D6" w:rsidRDefault="00D95500" w:rsidP="00071E41">
            <w:pPr>
              <w:rPr>
                <w:i/>
              </w:rPr>
            </w:pPr>
            <w:r w:rsidRPr="005269D6">
              <w:rPr>
                <w:i/>
              </w:rPr>
              <w:t>On se limite à l’étude du bilan énergétique externe des systèmes de stockage durant les principales phases de fonctionnement.</w:t>
            </w:r>
          </w:p>
        </w:tc>
      </w:tr>
      <w:tr w:rsidR="00D95500" w:rsidRPr="005269D6" w:rsidTr="005269D6">
        <w:trPr>
          <w:trHeight w:val="142"/>
        </w:trPr>
        <w:tc>
          <w:tcPr>
            <w:tcW w:w="3227" w:type="dxa"/>
          </w:tcPr>
          <w:p w:rsidR="00D95500" w:rsidRPr="005269D6" w:rsidRDefault="00D95500" w:rsidP="00774745">
            <w:pPr>
              <w:rPr>
                <w:b/>
              </w:rPr>
            </w:pPr>
            <w:r w:rsidRPr="005269D6">
              <w:rPr>
                <w:b/>
              </w:rPr>
              <w:t>Liens</w:t>
            </w:r>
          </w:p>
        </w:tc>
        <w:tc>
          <w:tcPr>
            <w:tcW w:w="6551" w:type="dxa"/>
          </w:tcPr>
          <w:p w:rsidR="00D95500" w:rsidRPr="006E3FFB" w:rsidRDefault="00D95500" w:rsidP="00FD3876">
            <w:pPr>
              <w:jc w:val="left"/>
              <w:rPr>
                <w:color w:val="FF0000"/>
              </w:rPr>
            </w:pPr>
          </w:p>
        </w:tc>
      </w:tr>
    </w:tbl>
    <w:p w:rsidR="00D95500" w:rsidRDefault="00D95500" w:rsidP="008C3D7F"/>
    <w:p w:rsidR="00D95500" w:rsidRDefault="00D95500" w:rsidP="008C3D7F"/>
    <w:p w:rsidR="00D95500" w:rsidRDefault="00D95500" w:rsidP="00B10269">
      <w:pPr>
        <w:ind w:firstLine="708"/>
      </w:pPr>
    </w:p>
    <w:p w:rsidR="00D95500" w:rsidRDefault="00D95500" w:rsidP="00B10269"/>
    <w:p w:rsidR="00D95500" w:rsidRDefault="00D95500" w:rsidP="00251D4A">
      <w:pPr>
        <w:rPr>
          <w:rFonts w:cs="Arial"/>
          <w:szCs w:val="20"/>
        </w:rPr>
      </w:pPr>
      <w:r>
        <w:t xml:space="preserve">Le </w:t>
      </w:r>
      <w:r>
        <w:rPr>
          <w:b/>
          <w:bCs/>
        </w:rPr>
        <w:t>stockage de l'énergie</w:t>
      </w:r>
      <w:r>
        <w:t xml:space="preserve"> est l'action qui consiste à placer une quantité d'énergie en un lieu donné pour permettre son utilisation ultérieure. Par extension, le terme "stockage d'énergie" est souvent employé pour désigner le stockage de matière qui contient cette énergie. </w:t>
      </w:r>
    </w:p>
    <w:p w:rsidR="00D95500" w:rsidRDefault="00D95500" w:rsidP="00251D4A">
      <w:pPr>
        <w:rPr>
          <w:rFonts w:cs="Arial"/>
          <w:szCs w:val="20"/>
        </w:rPr>
      </w:pPr>
    </w:p>
    <w:p w:rsidR="00D95500" w:rsidRPr="00B10269" w:rsidRDefault="00D95500" w:rsidP="00251D4A">
      <w:pPr>
        <w:rPr>
          <w:szCs w:val="20"/>
        </w:rPr>
      </w:pPr>
      <w:r>
        <w:rPr>
          <w:rFonts w:cs="Arial"/>
          <w:szCs w:val="20"/>
        </w:rPr>
        <w:t>Ce que l’on pourra appréhender :</w:t>
      </w:r>
    </w:p>
    <w:p w:rsidR="00D95500" w:rsidRDefault="00D95500" w:rsidP="00D37564">
      <w:pPr>
        <w:numPr>
          <w:ilvl w:val="0"/>
          <w:numId w:val="3"/>
        </w:numPr>
        <w:rPr>
          <w:szCs w:val="20"/>
        </w:rPr>
      </w:pPr>
      <w:r>
        <w:rPr>
          <w:szCs w:val="20"/>
        </w:rPr>
        <w:t>Le stockage en batterie (énergie chimique), avoir des notions de cyclabilité, et des différents types de batteries, grandeur caractéristique la capacité en AH (ampère heure).</w:t>
      </w:r>
    </w:p>
    <w:p w:rsidR="00D95500" w:rsidRDefault="00D95500" w:rsidP="00D37564">
      <w:pPr>
        <w:numPr>
          <w:ilvl w:val="0"/>
          <w:numId w:val="3"/>
        </w:numPr>
        <w:rPr>
          <w:szCs w:val="20"/>
        </w:rPr>
      </w:pPr>
      <w:r>
        <w:rPr>
          <w:szCs w:val="20"/>
        </w:rPr>
        <w:t>Le stockage en « cuve » :</w:t>
      </w:r>
    </w:p>
    <w:p w:rsidR="00D95500" w:rsidRDefault="00D95500" w:rsidP="00833643">
      <w:pPr>
        <w:numPr>
          <w:ilvl w:val="1"/>
          <w:numId w:val="3"/>
        </w:numPr>
        <w:rPr>
          <w:szCs w:val="20"/>
        </w:rPr>
      </w:pPr>
      <w:r>
        <w:rPr>
          <w:szCs w:val="20"/>
        </w:rPr>
        <w:t xml:space="preserve"> hydrogène, hydrocarbure, grandeurs caractéristiques masse et pouvoir calorifique.</w:t>
      </w:r>
    </w:p>
    <w:p w:rsidR="00D95500" w:rsidRDefault="00D95500" w:rsidP="00833643">
      <w:pPr>
        <w:numPr>
          <w:ilvl w:val="1"/>
          <w:numId w:val="3"/>
        </w:numPr>
        <w:rPr>
          <w:szCs w:val="20"/>
        </w:rPr>
      </w:pPr>
      <w:r>
        <w:rPr>
          <w:szCs w:val="20"/>
        </w:rPr>
        <w:t xml:space="preserve"> air comprimé (dans ce dernier cas on pourra montrer l’exemple de HUNTORF), grandeurs caractéristiques volume et pression.</w:t>
      </w:r>
    </w:p>
    <w:p w:rsidR="00D95500" w:rsidRDefault="00D95500" w:rsidP="00833643">
      <w:pPr>
        <w:numPr>
          <w:ilvl w:val="1"/>
          <w:numId w:val="3"/>
        </w:numPr>
        <w:rPr>
          <w:szCs w:val="20"/>
        </w:rPr>
      </w:pPr>
      <w:r>
        <w:rPr>
          <w:szCs w:val="20"/>
        </w:rPr>
        <w:t xml:space="preserve"> l’énergie thermique (stockage d’eau chaude), grandeurs caractéristiques masse et écart de température.</w:t>
      </w:r>
    </w:p>
    <w:p w:rsidR="00D95500" w:rsidRDefault="00D95500" w:rsidP="00D37564">
      <w:pPr>
        <w:numPr>
          <w:ilvl w:val="0"/>
          <w:numId w:val="3"/>
        </w:numPr>
        <w:rPr>
          <w:szCs w:val="20"/>
        </w:rPr>
      </w:pPr>
      <w:r>
        <w:rPr>
          <w:szCs w:val="20"/>
        </w:rPr>
        <w:t>Le stockage mécanique à inertie (exemple du kers, masse en rotation), grandeurs caractéristiques masse et vitesse.</w:t>
      </w:r>
    </w:p>
    <w:p w:rsidR="00D95500" w:rsidRDefault="00D95500" w:rsidP="00D37564">
      <w:pPr>
        <w:numPr>
          <w:ilvl w:val="0"/>
          <w:numId w:val="3"/>
        </w:numPr>
        <w:rPr>
          <w:szCs w:val="20"/>
        </w:rPr>
      </w:pPr>
      <w:r>
        <w:rPr>
          <w:szCs w:val="20"/>
        </w:rPr>
        <w:t>Le stockage mécanique potentiel, les barrages hydroélectriques. Grandeurs caractéristiques la hauteur et volume d’eau.</w:t>
      </w:r>
    </w:p>
    <w:p w:rsidR="00D95500" w:rsidRDefault="00D95500" w:rsidP="00610D91">
      <w:pPr>
        <w:rPr>
          <w:szCs w:val="20"/>
        </w:rPr>
      </w:pPr>
      <w:r>
        <w:rPr>
          <w:szCs w:val="20"/>
        </w:rPr>
        <w:t>On pourra mettre évidence la perte d’énergie emmagasiné dans le temps.</w:t>
      </w:r>
    </w:p>
    <w:p w:rsidR="00D95500" w:rsidRDefault="00D95500" w:rsidP="00610D91">
      <w:pPr>
        <w:rPr>
          <w:color w:val="FF0000"/>
        </w:rPr>
      </w:pPr>
    </w:p>
    <w:p w:rsidR="00D95500" w:rsidRDefault="00D95500" w:rsidP="00610D91">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Default="00D95500" w:rsidP="008C3D7F">
      <w:pPr>
        <w:rPr>
          <w:szCs w:val="20"/>
        </w:rPr>
      </w:pPr>
    </w:p>
    <w:p w:rsidR="00D95500" w:rsidRPr="00B10269" w:rsidRDefault="00D95500" w:rsidP="008C3D7F">
      <w:pPr>
        <w:rPr>
          <w:szCs w:val="20"/>
        </w:rPr>
      </w:pPr>
    </w:p>
    <w:sectPr w:rsidR="00D95500" w:rsidRPr="00B10269"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00" w:rsidRDefault="00D95500" w:rsidP="008C3D7F">
      <w:r>
        <w:separator/>
      </w:r>
    </w:p>
  </w:endnote>
  <w:endnote w:type="continuationSeparator" w:id="0">
    <w:p w:rsidR="00D95500" w:rsidRDefault="00D95500"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00" w:rsidRDefault="00D95500" w:rsidP="005269D6">
    <w:pPr>
      <w:pStyle w:val="Footer"/>
      <w:pBdr>
        <w:top w:val="thinThickSmallGap" w:sz="24" w:space="1" w:color="622423"/>
      </w:pBdr>
      <w:tabs>
        <w:tab w:val="clear" w:pos="4536"/>
        <w:tab w:val="clear" w:pos="9072"/>
        <w:tab w:val="right" w:pos="9638"/>
      </w:tabs>
      <w:rPr>
        <w:rFonts w:ascii="Cambria" w:hAnsi="Cambria"/>
      </w:rPr>
    </w:pPr>
    <w:r>
      <w:t>T.C.-3.2.2</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1</w:t>
    </w:r>
    <w:r w:rsidRPr="00AD44D3">
      <w:rPr>
        <w:rFonts w:cs="Arial"/>
      </w:rPr>
      <w:fldChar w:fldCharType="end"/>
    </w:r>
  </w:p>
  <w:p w:rsidR="00D95500" w:rsidRDefault="00D95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00" w:rsidRDefault="00D95500" w:rsidP="008C3D7F">
      <w:r>
        <w:separator/>
      </w:r>
    </w:p>
  </w:footnote>
  <w:footnote w:type="continuationSeparator" w:id="0">
    <w:p w:rsidR="00D95500" w:rsidRDefault="00D95500"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00" w:rsidRPr="008C3D7F" w:rsidRDefault="00D95500">
    <w:pPr>
      <w:pStyle w:val="Header"/>
      <w:pBdr>
        <w:bottom w:val="thickThinSmallGap" w:sz="24" w:space="1" w:color="622423"/>
      </w:pBdr>
      <w:jc w:val="center"/>
      <w:rPr>
        <w:rFonts w:ascii="Cambria" w:hAnsi="Cambria"/>
        <w:sz w:val="48"/>
        <w:szCs w:val="32"/>
      </w:rPr>
    </w:pPr>
    <w:r>
      <w:rPr>
        <w:b/>
        <w:sz w:val="32"/>
      </w:rPr>
      <w:t>Tronc Commun</w:t>
    </w:r>
  </w:p>
  <w:p w:rsidR="00D95500" w:rsidRDefault="00D95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4B2EEC"/>
    <w:multiLevelType w:val="hybridMultilevel"/>
    <w:tmpl w:val="7E52AF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A9C1031"/>
    <w:multiLevelType w:val="hybridMultilevel"/>
    <w:tmpl w:val="B4F8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AC5C27"/>
    <w:multiLevelType w:val="hybridMultilevel"/>
    <w:tmpl w:val="856ABFE8"/>
    <w:lvl w:ilvl="0" w:tplc="A78C0FB2">
      <w:numFmt w:val="bullet"/>
      <w:lvlText w:val="-"/>
      <w:lvlJc w:val="left"/>
      <w:pPr>
        <w:tabs>
          <w:tab w:val="num" w:pos="1065"/>
        </w:tabs>
        <w:ind w:left="1065" w:hanging="360"/>
      </w:pPr>
      <w:rPr>
        <w:rFonts w:ascii="Arial" w:eastAsia="Times New Roman" w:hAnsi="Aria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62"/>
    <w:rsid w:val="00071E41"/>
    <w:rsid w:val="000B2269"/>
    <w:rsid w:val="000D4C64"/>
    <w:rsid w:val="001303D6"/>
    <w:rsid w:val="001A7BF0"/>
    <w:rsid w:val="001E31BC"/>
    <w:rsid w:val="00226A2D"/>
    <w:rsid w:val="0023131A"/>
    <w:rsid w:val="00251D4A"/>
    <w:rsid w:val="00281D84"/>
    <w:rsid w:val="002926D6"/>
    <w:rsid w:val="002B3F34"/>
    <w:rsid w:val="002E0FDD"/>
    <w:rsid w:val="003005FC"/>
    <w:rsid w:val="00325D43"/>
    <w:rsid w:val="0036080F"/>
    <w:rsid w:val="003A6363"/>
    <w:rsid w:val="00406F9C"/>
    <w:rsid w:val="00477312"/>
    <w:rsid w:val="00486FFE"/>
    <w:rsid w:val="004A5470"/>
    <w:rsid w:val="004F1D3A"/>
    <w:rsid w:val="005229D4"/>
    <w:rsid w:val="00525A22"/>
    <w:rsid w:val="005269D6"/>
    <w:rsid w:val="00550D8C"/>
    <w:rsid w:val="00574D0E"/>
    <w:rsid w:val="005E020A"/>
    <w:rsid w:val="005F5708"/>
    <w:rsid w:val="005F6D16"/>
    <w:rsid w:val="00610D91"/>
    <w:rsid w:val="00620B13"/>
    <w:rsid w:val="00632C6D"/>
    <w:rsid w:val="006B522E"/>
    <w:rsid w:val="006E3FFB"/>
    <w:rsid w:val="00765C1F"/>
    <w:rsid w:val="00774745"/>
    <w:rsid w:val="00780831"/>
    <w:rsid w:val="007A03B9"/>
    <w:rsid w:val="007F7F53"/>
    <w:rsid w:val="00802A61"/>
    <w:rsid w:val="00833643"/>
    <w:rsid w:val="008968BA"/>
    <w:rsid w:val="008C3D7F"/>
    <w:rsid w:val="008C442A"/>
    <w:rsid w:val="008F6BA9"/>
    <w:rsid w:val="00931ADB"/>
    <w:rsid w:val="00992FB6"/>
    <w:rsid w:val="009F4749"/>
    <w:rsid w:val="00AB3B32"/>
    <w:rsid w:val="00AD44D3"/>
    <w:rsid w:val="00AD7A93"/>
    <w:rsid w:val="00AE2562"/>
    <w:rsid w:val="00B10269"/>
    <w:rsid w:val="00B42BBB"/>
    <w:rsid w:val="00B5767B"/>
    <w:rsid w:val="00BA3A5A"/>
    <w:rsid w:val="00CA3905"/>
    <w:rsid w:val="00CE08FE"/>
    <w:rsid w:val="00D30092"/>
    <w:rsid w:val="00D37564"/>
    <w:rsid w:val="00D41F80"/>
    <w:rsid w:val="00D61259"/>
    <w:rsid w:val="00D64037"/>
    <w:rsid w:val="00D95500"/>
    <w:rsid w:val="00DA18E6"/>
    <w:rsid w:val="00DD2F7D"/>
    <w:rsid w:val="00DE1A5E"/>
    <w:rsid w:val="00E82E8E"/>
    <w:rsid w:val="00EB6217"/>
    <w:rsid w:val="00EE66AF"/>
    <w:rsid w:val="00EF7A1B"/>
    <w:rsid w:val="00F2697B"/>
    <w:rsid w:val="00F76B21"/>
    <w:rsid w:val="00FD387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pPr>
      <w:jc w:val="both"/>
    </w:pPr>
    <w:rPr>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A7BF0"/>
    <w:pPr>
      <w:ind w:left="720"/>
      <w:contextualSpacing/>
    </w:pPr>
  </w:style>
  <w:style w:type="character" w:styleId="Hyperlink">
    <w:name w:val="Hyperlink"/>
    <w:basedOn w:val="DefaultParagraphFont"/>
    <w:uiPriority w:val="99"/>
    <w:rsid w:val="00FD3876"/>
    <w:rPr>
      <w:rFonts w:cs="Times New Roman"/>
      <w:color w:val="0000FF"/>
      <w:u w:val="single"/>
    </w:rPr>
  </w:style>
  <w:style w:type="character" w:styleId="FollowedHyperlink">
    <w:name w:val="FollowedHyperlink"/>
    <w:basedOn w:val="DefaultParagraphFont"/>
    <w:uiPriority w:val="99"/>
    <w:rsid w:val="002E0F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12</TotalTime>
  <Pages>1</Pages>
  <Words>325</Words>
  <Characters>1792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subject/>
  <dc:creator>Patrick Cohen</dc:creator>
  <cp:keywords/>
  <dc:description/>
  <cp:lastModifiedBy>laurent</cp:lastModifiedBy>
  <cp:revision>2</cp:revision>
  <dcterms:created xsi:type="dcterms:W3CDTF">2011-11-04T10:38:00Z</dcterms:created>
  <dcterms:modified xsi:type="dcterms:W3CDTF">2011-11-04T10:38:00Z</dcterms:modified>
</cp:coreProperties>
</file>