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06" w:rsidRPr="00831206" w:rsidRDefault="00831206" w:rsidP="00085046">
      <w:pPr>
        <w:shd w:val="clear" w:color="auto" w:fill="FFFFFF"/>
        <w:spacing w:before="100" w:beforeAutospacing="1" w:after="0" w:line="240" w:lineRule="auto"/>
        <w:outlineLvl w:val="2"/>
        <w:rPr>
          <w:rFonts w:ascii="Helvetica" w:eastAsia="Times New Roman" w:hAnsi="Helvetica" w:cs="Helvetica"/>
          <w:b/>
          <w:bCs/>
          <w:color w:val="2D8E8D"/>
          <w:sz w:val="28"/>
          <w:szCs w:val="28"/>
          <w:lang w:eastAsia="fr-FR"/>
        </w:rPr>
      </w:pPr>
      <w:r w:rsidRPr="00672AD3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Introduction</w:t>
      </w:r>
    </w:p>
    <w:p w:rsidR="004F6464" w:rsidRPr="009E205B" w:rsidRDefault="004F6464" w:rsidP="004F6464">
      <w:pPr>
        <w:shd w:val="clear" w:color="auto" w:fill="FFFFFF"/>
        <w:spacing w:after="120" w:line="240" w:lineRule="auto"/>
      </w:pPr>
      <w:r>
        <w:t xml:space="preserve">Cette séquence pédagogique porte sur la </w:t>
      </w:r>
      <w:r w:rsidRPr="009E205B">
        <w:t>cartographie des épaves du débarqueme</w:t>
      </w:r>
      <w:r>
        <w:t xml:space="preserve">nt allié dans la baie de Seine et </w:t>
      </w:r>
      <w:r w:rsidRPr="009E205B">
        <w:t>sur l’utilisation des engins sous-marins pendant le débarquement de 1944 et lors</w:t>
      </w:r>
      <w:r>
        <w:t xml:space="preserve"> de l’expédition D-Day de 2013.</w:t>
      </w:r>
      <w:r w:rsidRPr="009E205B">
        <w:t xml:space="preserve"> Elle repose sur l’étude de cas de systèmes existants : les sous-marins de poche, les robots sous-marins appelés ROV (</w:t>
      </w:r>
      <w:proofErr w:type="spellStart"/>
      <w:r w:rsidRPr="009E205B">
        <w:t>Remotely</w:t>
      </w:r>
      <w:proofErr w:type="spellEnd"/>
      <w:r w:rsidRPr="009E205B">
        <w:t xml:space="preserve"> </w:t>
      </w:r>
      <w:proofErr w:type="spellStart"/>
      <w:r w:rsidRPr="009E205B">
        <w:t>Operated</w:t>
      </w:r>
      <w:proofErr w:type="spellEnd"/>
      <w:r w:rsidRPr="009E205B">
        <w:t xml:space="preserve"> </w:t>
      </w:r>
      <w:proofErr w:type="spellStart"/>
      <w:r w:rsidRPr="009E205B">
        <w:t>Vehicle</w:t>
      </w:r>
      <w:proofErr w:type="spellEnd"/>
      <w:r w:rsidRPr="009E205B">
        <w:t>) et AUV (</w:t>
      </w:r>
      <w:proofErr w:type="spellStart"/>
      <w:r w:rsidRPr="009E205B">
        <w:t>Autonomous</w:t>
      </w:r>
      <w:proofErr w:type="spellEnd"/>
      <w:r w:rsidRPr="009E205B">
        <w:t xml:space="preserve"> </w:t>
      </w:r>
      <w:proofErr w:type="spellStart"/>
      <w:r w:rsidRPr="009E205B">
        <w:t>Underwater</w:t>
      </w:r>
      <w:proofErr w:type="spellEnd"/>
      <w:r w:rsidRPr="009E205B">
        <w:t xml:space="preserve"> </w:t>
      </w:r>
      <w:proofErr w:type="spellStart"/>
      <w:r w:rsidRPr="009E205B">
        <w:t>Vehicle</w:t>
      </w:r>
      <w:proofErr w:type="spellEnd"/>
      <w:r w:rsidRPr="009E205B">
        <w:t>).</w:t>
      </w:r>
    </w:p>
    <w:p w:rsidR="004F6464" w:rsidRPr="004F6464" w:rsidRDefault="004F6464" w:rsidP="004F6464">
      <w:pPr>
        <w:shd w:val="clear" w:color="auto" w:fill="FFFFFF"/>
        <w:spacing w:after="0" w:line="360" w:lineRule="atLeast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Thème sociétal :</w:t>
      </w:r>
      <w:r w:rsidRPr="004F6464">
        <w:rPr>
          <w:rFonts w:eastAsia="Times New Roman" w:cs="Helvetica"/>
          <w:lang w:eastAsia="fr-FR"/>
        </w:rPr>
        <w:t xml:space="preserve"> la préservation et la valorisation du patrimoine sous-marin.</w:t>
      </w:r>
    </w:p>
    <w:p w:rsidR="004F6464" w:rsidRPr="004F6464" w:rsidRDefault="004F6464" w:rsidP="004F6464">
      <w:pPr>
        <w:shd w:val="clear" w:color="auto" w:fill="FFFFFF"/>
        <w:spacing w:after="120" w:line="360" w:lineRule="atLeast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Problématique :</w:t>
      </w:r>
      <w:r w:rsidRPr="004F6464">
        <w:rPr>
          <w:rFonts w:eastAsia="Times New Roman" w:cs="Helvetica"/>
          <w:lang w:eastAsia="fr-FR"/>
        </w:rPr>
        <w:t xml:space="preserve"> comment préserver et valoriser un patrimoine non accessible car immergé ?</w:t>
      </w:r>
    </w:p>
    <w:p w:rsidR="004F6464" w:rsidRPr="004F6464" w:rsidRDefault="004F6464" w:rsidP="004F6464">
      <w:pPr>
        <w:shd w:val="clear" w:color="auto" w:fill="FFFFFF"/>
        <w:spacing w:after="0" w:line="240" w:lineRule="auto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Problèmes techniques :</w:t>
      </w:r>
      <w:r w:rsidRPr="004F6464">
        <w:rPr>
          <w:rFonts w:eastAsia="Times New Roman" w:cs="Helvetica"/>
          <w:lang w:eastAsia="fr-FR"/>
        </w:rPr>
        <w:t xml:space="preserve"> comment déplacer une caméra sous l’eau pour filmer au plus près des épaves ? Comment acquérir des images en toute sécurité dans le milieu marin ?</w:t>
      </w:r>
    </w:p>
    <w:p w:rsidR="004F6464" w:rsidRPr="004F6464" w:rsidRDefault="004F6464" w:rsidP="00085046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sz w:val="17"/>
          <w:szCs w:val="17"/>
          <w:lang w:eastAsia="fr-FR"/>
        </w:rPr>
      </w:pPr>
    </w:p>
    <w:p w:rsidR="00831206" w:rsidRPr="00831206" w:rsidRDefault="00831206" w:rsidP="00085046">
      <w:pPr>
        <w:shd w:val="clear" w:color="auto" w:fill="FFFFFF"/>
        <w:spacing w:before="161" w:after="0" w:line="240" w:lineRule="auto"/>
        <w:outlineLvl w:val="3"/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</w:pPr>
      <w:r w:rsidRPr="0083120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Objectifs</w:t>
      </w:r>
      <w:r w:rsidR="0008504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 :</w:t>
      </w:r>
    </w:p>
    <w:p w:rsidR="00831206" w:rsidRPr="004F6464" w:rsidRDefault="00831206" w:rsidP="00085046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Aborder les notions de mécanique des fluides et de résistance des matériaux en milieu marin.</w:t>
      </w:r>
    </w:p>
    <w:p w:rsidR="00831206" w:rsidRPr="004F6464" w:rsidRDefault="00831206" w:rsidP="00085046">
      <w:pPr>
        <w:numPr>
          <w:ilvl w:val="0"/>
          <w:numId w:val="1"/>
        </w:numPr>
        <w:shd w:val="clear" w:color="auto" w:fill="FFFFFF"/>
        <w:spacing w:after="0" w:line="240" w:lineRule="auto"/>
        <w:ind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Vérifier les paramètres de deux des principales fonctions techniques d’un engin sous-marin de type ROV :</w:t>
      </w:r>
    </w:p>
    <w:p w:rsidR="00831206" w:rsidRPr="004F6464" w:rsidRDefault="00831206" w:rsidP="00085046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propulser le ROV,</w:t>
      </w:r>
    </w:p>
    <w:p w:rsidR="00085046" w:rsidRPr="004F6464" w:rsidRDefault="00831206" w:rsidP="00085046">
      <w:pPr>
        <w:numPr>
          <w:ilvl w:val="1"/>
          <w:numId w:val="1"/>
        </w:numPr>
        <w:shd w:val="clear" w:color="auto" w:fill="FFFFFF"/>
        <w:spacing w:after="0" w:line="240" w:lineRule="auto"/>
        <w:ind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filmer le milieu sous-marin dans de bonnes conditions.</w:t>
      </w:r>
    </w:p>
    <w:p w:rsidR="00831206" w:rsidRPr="00831206" w:rsidRDefault="00831206" w:rsidP="00085046">
      <w:pPr>
        <w:shd w:val="clear" w:color="auto" w:fill="FFFFFF"/>
        <w:spacing w:before="360" w:after="120" w:line="240" w:lineRule="auto"/>
        <w:outlineLvl w:val="3"/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</w:pPr>
      <w:proofErr w:type="spellStart"/>
      <w:r w:rsidRPr="0083120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Prérequis</w:t>
      </w:r>
      <w:proofErr w:type="spellEnd"/>
      <w:r w:rsidR="0008504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 :</w:t>
      </w:r>
    </w:p>
    <w:p w:rsidR="00831206" w:rsidRPr="004F6464" w:rsidRDefault="00831206" w:rsidP="0008504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Analyse fonctionnelle et structurelle.</w:t>
      </w:r>
    </w:p>
    <w:p w:rsidR="00831206" w:rsidRPr="004F6464" w:rsidRDefault="00831206" w:rsidP="0083120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Modélisation des actions mécaniques</w:t>
      </w:r>
      <w:r w:rsidR="00397DF8" w:rsidRPr="004F6464">
        <w:rPr>
          <w:rFonts w:eastAsia="Times New Roman" w:cs="Helvetica"/>
          <w:lang w:eastAsia="fr-FR"/>
        </w:rPr>
        <w:t xml:space="preserve"> (mécanique des fluides)</w:t>
      </w:r>
      <w:r w:rsidRPr="004F6464">
        <w:rPr>
          <w:rFonts w:eastAsia="Times New Roman" w:cs="Helvetica"/>
          <w:lang w:eastAsia="fr-FR"/>
        </w:rPr>
        <w:t xml:space="preserve"> et principe fondamental de la </w:t>
      </w:r>
      <w:r w:rsidR="00397DF8" w:rsidRPr="004F6464">
        <w:rPr>
          <w:rFonts w:eastAsia="Times New Roman" w:cs="Helvetica"/>
          <w:lang w:eastAsia="fr-FR"/>
        </w:rPr>
        <w:t>statique</w:t>
      </w:r>
      <w:r w:rsidRPr="004F6464">
        <w:rPr>
          <w:rFonts w:eastAsia="Times New Roman" w:cs="Helvetica"/>
          <w:lang w:eastAsia="fr-FR"/>
        </w:rPr>
        <w:t>.</w:t>
      </w:r>
    </w:p>
    <w:p w:rsidR="00831206" w:rsidRPr="004F6464" w:rsidRDefault="00831206" w:rsidP="00085046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Notions de résistance des matériaux.</w:t>
      </w:r>
    </w:p>
    <w:p w:rsidR="00831206" w:rsidRPr="00831206" w:rsidRDefault="00831206" w:rsidP="00592394">
      <w:pPr>
        <w:shd w:val="clear" w:color="auto" w:fill="FFFFFF"/>
        <w:spacing w:before="240" w:after="0" w:line="240" w:lineRule="auto"/>
        <w:outlineLvl w:val="3"/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</w:pPr>
      <w:r w:rsidRPr="0083120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Organisation</w:t>
      </w:r>
      <w:r w:rsidR="00085046" w:rsidRPr="0008504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 :</w:t>
      </w:r>
    </w:p>
    <w:p w:rsidR="004F6464" w:rsidRDefault="004F6464" w:rsidP="0083120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333333"/>
          <w:sz w:val="17"/>
          <w:szCs w:val="17"/>
          <w:lang w:eastAsia="fr-FR"/>
        </w:rPr>
      </w:pPr>
      <w:r w:rsidRPr="004F6464">
        <w:rPr>
          <w:rFonts w:ascii="Helvetica" w:eastAsia="Times New Roman" w:hAnsi="Helvetica" w:cs="Helvetica"/>
          <w:b/>
          <w:noProof/>
          <w:color w:val="333333"/>
          <w:sz w:val="17"/>
          <w:szCs w:val="17"/>
          <w:lang w:eastAsia="fr-FR"/>
        </w:rPr>
        <w:drawing>
          <wp:inline distT="114300" distB="114300" distL="114300" distR="114300">
            <wp:extent cx="4842344" cy="389614"/>
            <wp:effectExtent l="19050" t="0" r="0" b="0"/>
            <wp:docPr id="5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4491" cy="389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1206" w:rsidRPr="004F6464" w:rsidRDefault="00831206" w:rsidP="00085046">
      <w:pPr>
        <w:shd w:val="clear" w:color="auto" w:fill="FFFFFF"/>
        <w:spacing w:after="120" w:line="360" w:lineRule="atLeast"/>
        <w:rPr>
          <w:rFonts w:eastAsia="Times New Roman" w:cs="Helvetica"/>
          <w:b/>
          <w:lang w:eastAsia="fr-FR"/>
        </w:rPr>
      </w:pPr>
      <w:r w:rsidRPr="004F6464">
        <w:rPr>
          <w:rFonts w:eastAsia="Times New Roman" w:cs="Helvetica"/>
          <w:b/>
          <w:lang w:eastAsia="fr-FR"/>
        </w:rPr>
        <w:t>Séquence organisée en quatre grandes étapes :</w:t>
      </w:r>
    </w:p>
    <w:p w:rsidR="00831206" w:rsidRPr="004F6464" w:rsidRDefault="00831206" w:rsidP="0008504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Analyse du besoin ;</w:t>
      </w:r>
    </w:p>
    <w:p w:rsidR="00831206" w:rsidRPr="004F6464" w:rsidRDefault="00831206" w:rsidP="0008504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Compréhension des notions de mécanique des fluides ;</w:t>
      </w:r>
    </w:p>
    <w:p w:rsidR="00831206" w:rsidRPr="004F6464" w:rsidRDefault="00831206" w:rsidP="0008504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Étude des problèmes techniques sur le ROV.</w:t>
      </w:r>
    </w:p>
    <w:p w:rsidR="00F82F54" w:rsidRPr="004F6464" w:rsidRDefault="00F82F54" w:rsidP="00F82F54">
      <w:pPr>
        <w:shd w:val="clear" w:color="auto" w:fill="FFFFFF"/>
        <w:spacing w:before="120" w:after="0" w:line="240" w:lineRule="auto"/>
        <w:rPr>
          <w:rFonts w:eastAsia="Times New Roman" w:cs="Helvetica"/>
          <w:b/>
          <w:lang w:eastAsia="fr-FR"/>
        </w:rPr>
      </w:pPr>
      <w:r w:rsidRPr="004F6464">
        <w:rPr>
          <w:rFonts w:eastAsia="Times New Roman" w:cs="Helvetica"/>
          <w:b/>
          <w:lang w:eastAsia="fr-FR"/>
        </w:rPr>
        <w:t xml:space="preserve">Scénarios : </w:t>
      </w:r>
    </w:p>
    <w:p w:rsidR="00F82F54" w:rsidRPr="004F6464" w:rsidRDefault="00F82F54" w:rsidP="00F82F54">
      <w:pPr>
        <w:shd w:val="clear" w:color="auto" w:fill="FFFFFF"/>
        <w:spacing w:after="0" w:line="240" w:lineRule="auto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lang w:eastAsia="fr-FR"/>
        </w:rPr>
        <w:t>Cette étude peut s’adapter aux différentes configurations possibles en fonction des mesures sanitaires</w:t>
      </w:r>
      <w:r w:rsidR="006E3784" w:rsidRPr="004F6464">
        <w:rPr>
          <w:rFonts w:eastAsia="Times New Roman" w:cs="Helvetica"/>
          <w:lang w:eastAsia="fr-FR"/>
        </w:rPr>
        <w:t xml:space="preserve"> qui seront en vigueur</w:t>
      </w:r>
      <w:r w:rsidRPr="004F6464">
        <w:rPr>
          <w:rFonts w:eastAsia="Times New Roman" w:cs="Helvetica"/>
          <w:lang w:eastAsia="fr-FR"/>
        </w:rPr>
        <w:t>. Une préconisation sera présente sur le document professeur de chaque séance dans le paragraphe « type d’activité ».</w:t>
      </w:r>
    </w:p>
    <w:p w:rsidR="00831206" w:rsidRPr="00831206" w:rsidRDefault="00831206" w:rsidP="00085046">
      <w:pPr>
        <w:shd w:val="clear" w:color="auto" w:fill="FFFFFF"/>
        <w:spacing w:before="360" w:after="120" w:line="240" w:lineRule="auto"/>
        <w:outlineLvl w:val="3"/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</w:pPr>
      <w:r w:rsidRPr="0083120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Durée</w:t>
      </w:r>
      <w:r w:rsidR="00085046" w:rsidRPr="0008504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> :</w:t>
      </w:r>
      <w:r w:rsidR="00085046">
        <w:rPr>
          <w:rFonts w:ascii="Helvetica" w:eastAsia="Times New Roman" w:hAnsi="Helvetica" w:cs="Helvetica"/>
          <w:color w:val="2D8E8D"/>
          <w:sz w:val="24"/>
          <w:szCs w:val="24"/>
          <w:lang w:eastAsia="fr-FR"/>
        </w:rPr>
        <w:t xml:space="preserve"> 18h</w:t>
      </w:r>
    </w:p>
    <w:p w:rsidR="00831206" w:rsidRPr="004F6464" w:rsidRDefault="00831206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Séance 1 :</w:t>
      </w:r>
      <w:r w:rsidRPr="004F6464">
        <w:rPr>
          <w:rFonts w:eastAsia="Times New Roman" w:cs="Helvetica"/>
          <w:lang w:eastAsia="fr-FR"/>
        </w:rPr>
        <w:t xml:space="preserve"> Découverte du thème soc</w:t>
      </w:r>
      <w:r w:rsidR="00366FE0" w:rsidRPr="004F6464">
        <w:rPr>
          <w:rFonts w:eastAsia="Times New Roman" w:cs="Helvetica"/>
          <w:lang w:eastAsia="fr-FR"/>
        </w:rPr>
        <w:t>iétal et de la problématique + quizz 1 : 3</w:t>
      </w:r>
      <w:r w:rsidRPr="004F6464">
        <w:rPr>
          <w:rFonts w:eastAsia="Times New Roman" w:cs="Helvetica"/>
          <w:lang w:eastAsia="fr-FR"/>
        </w:rPr>
        <w:t xml:space="preserve"> h</w:t>
      </w:r>
    </w:p>
    <w:p w:rsidR="00831206" w:rsidRPr="004F6464" w:rsidRDefault="00831206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 xml:space="preserve">Séance 2 </w:t>
      </w:r>
      <w:r w:rsidR="00366FE0" w:rsidRPr="004F6464">
        <w:rPr>
          <w:rFonts w:eastAsia="Times New Roman" w:cs="Helvetica"/>
          <w:b/>
          <w:lang w:eastAsia="fr-FR"/>
        </w:rPr>
        <w:t xml:space="preserve">ETLV </w:t>
      </w:r>
      <w:r w:rsidRPr="004F6464">
        <w:rPr>
          <w:rFonts w:eastAsia="Times New Roman" w:cs="Helvetica"/>
          <w:b/>
          <w:lang w:eastAsia="fr-FR"/>
        </w:rPr>
        <w:t>:</w:t>
      </w:r>
      <w:r w:rsidRPr="004F6464">
        <w:rPr>
          <w:rFonts w:eastAsia="Times New Roman" w:cs="Helvetica"/>
          <w:lang w:eastAsia="fr-FR"/>
        </w:rPr>
        <w:t xml:space="preserve"> Analyse du besoi</w:t>
      </w:r>
      <w:r w:rsidR="00366FE0" w:rsidRPr="004F6464">
        <w:rPr>
          <w:rFonts w:eastAsia="Times New Roman" w:cs="Helvetica"/>
          <w:lang w:eastAsia="fr-FR"/>
        </w:rPr>
        <w:t>n lié aux engins sous-marins : 3</w:t>
      </w:r>
      <w:r w:rsidRPr="004F6464">
        <w:rPr>
          <w:rFonts w:eastAsia="Times New Roman" w:cs="Helvetica"/>
          <w:lang w:eastAsia="fr-FR"/>
        </w:rPr>
        <w:t xml:space="preserve"> h</w:t>
      </w:r>
    </w:p>
    <w:p w:rsidR="00831206" w:rsidRPr="004F6464" w:rsidRDefault="00EA32BC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Séance 3</w:t>
      </w:r>
      <w:r w:rsidR="00831206" w:rsidRPr="004F6464">
        <w:rPr>
          <w:rFonts w:eastAsia="Times New Roman" w:cs="Helvetica"/>
          <w:b/>
          <w:lang w:eastAsia="fr-FR"/>
        </w:rPr>
        <w:t xml:space="preserve"> :</w:t>
      </w:r>
      <w:r w:rsidR="00831206" w:rsidRPr="004F6464">
        <w:rPr>
          <w:rFonts w:eastAsia="Times New Roman" w:cs="Helvetica"/>
          <w:lang w:eastAsia="fr-FR"/>
        </w:rPr>
        <w:t xml:space="preserve"> Les notions élémentai</w:t>
      </w:r>
      <w:r w:rsidR="00366FE0" w:rsidRPr="004F6464">
        <w:rPr>
          <w:rFonts w:eastAsia="Times New Roman" w:cs="Helvetica"/>
          <w:lang w:eastAsia="fr-FR"/>
        </w:rPr>
        <w:t>res de mécanique des fluides + quizz 2 : 3</w:t>
      </w:r>
      <w:r w:rsidR="00831206" w:rsidRPr="004F6464">
        <w:rPr>
          <w:rFonts w:eastAsia="Times New Roman" w:cs="Helvetica"/>
          <w:lang w:eastAsia="fr-FR"/>
        </w:rPr>
        <w:t xml:space="preserve"> h</w:t>
      </w:r>
    </w:p>
    <w:p w:rsidR="00831206" w:rsidRPr="004F6464" w:rsidRDefault="00831206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 xml:space="preserve">Séance </w:t>
      </w:r>
      <w:r w:rsidR="00EA32BC" w:rsidRPr="004F6464">
        <w:rPr>
          <w:rFonts w:eastAsia="Times New Roman" w:cs="Helvetica"/>
          <w:b/>
          <w:lang w:eastAsia="fr-FR"/>
        </w:rPr>
        <w:t>4</w:t>
      </w:r>
      <w:r w:rsidRPr="004F6464">
        <w:rPr>
          <w:rFonts w:eastAsia="Times New Roman" w:cs="Helvetica"/>
          <w:b/>
          <w:lang w:eastAsia="fr-FR"/>
        </w:rPr>
        <w:t xml:space="preserve"> :</w:t>
      </w:r>
      <w:r w:rsidRPr="004F6464">
        <w:rPr>
          <w:rFonts w:eastAsia="Times New Roman" w:cs="Helvetica"/>
          <w:lang w:eastAsia="fr-FR"/>
        </w:rPr>
        <w:t xml:space="preserve"> Application des noti</w:t>
      </w:r>
      <w:r w:rsidR="00366FE0" w:rsidRPr="004F6464">
        <w:rPr>
          <w:rFonts w:eastAsia="Times New Roman" w:cs="Helvetica"/>
          <w:lang w:eastAsia="fr-FR"/>
        </w:rPr>
        <w:t>ons de mécanique des fluides : 3</w:t>
      </w:r>
      <w:r w:rsidRPr="004F6464">
        <w:rPr>
          <w:rFonts w:eastAsia="Times New Roman" w:cs="Helvetica"/>
          <w:lang w:eastAsia="fr-FR"/>
        </w:rPr>
        <w:t xml:space="preserve"> h</w:t>
      </w:r>
    </w:p>
    <w:p w:rsidR="00831206" w:rsidRPr="004F6464" w:rsidRDefault="00EA32BC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Séance 5</w:t>
      </w:r>
      <w:r w:rsidR="00831206" w:rsidRPr="004F6464">
        <w:rPr>
          <w:rFonts w:eastAsia="Times New Roman" w:cs="Helvetica"/>
          <w:b/>
          <w:lang w:eastAsia="fr-FR"/>
        </w:rPr>
        <w:t xml:space="preserve"> :</w:t>
      </w:r>
      <w:r w:rsidR="00831206" w:rsidRPr="004F6464">
        <w:rPr>
          <w:rFonts w:eastAsia="Times New Roman" w:cs="Helvetica"/>
          <w:lang w:eastAsia="fr-FR"/>
        </w:rPr>
        <w:t xml:space="preserve"> Propuls</w:t>
      </w:r>
      <w:r w:rsidR="00366FE0" w:rsidRPr="004F6464">
        <w:rPr>
          <w:rFonts w:eastAsia="Times New Roman" w:cs="Helvetica"/>
          <w:lang w:eastAsia="fr-FR"/>
        </w:rPr>
        <w:t>ion et flottabilité d’un ROV : 3</w:t>
      </w:r>
      <w:r w:rsidR="00831206" w:rsidRPr="004F6464">
        <w:rPr>
          <w:rFonts w:eastAsia="Times New Roman" w:cs="Helvetica"/>
          <w:lang w:eastAsia="fr-FR"/>
        </w:rPr>
        <w:t xml:space="preserve"> h</w:t>
      </w:r>
    </w:p>
    <w:p w:rsidR="00831206" w:rsidRPr="004F6464" w:rsidRDefault="00831206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 xml:space="preserve">Séance </w:t>
      </w:r>
      <w:r w:rsidR="00EA32BC" w:rsidRPr="004F6464">
        <w:rPr>
          <w:rFonts w:eastAsia="Times New Roman" w:cs="Helvetica"/>
          <w:b/>
          <w:lang w:eastAsia="fr-FR"/>
        </w:rPr>
        <w:t>6</w:t>
      </w:r>
      <w:r w:rsidRPr="004F6464">
        <w:rPr>
          <w:rFonts w:eastAsia="Times New Roman" w:cs="Helvetica"/>
          <w:b/>
          <w:lang w:eastAsia="fr-FR"/>
        </w:rPr>
        <w:t xml:space="preserve"> :</w:t>
      </w:r>
      <w:r w:rsidRPr="004F6464">
        <w:rPr>
          <w:rFonts w:eastAsia="Times New Roman" w:cs="Helvetica"/>
          <w:lang w:eastAsia="fr-FR"/>
        </w:rPr>
        <w:t xml:space="preserve"> Résistance du</w:t>
      </w:r>
      <w:r w:rsidR="00366FE0" w:rsidRPr="004F6464">
        <w:rPr>
          <w:rFonts w:eastAsia="Times New Roman" w:cs="Helvetica"/>
          <w:lang w:eastAsia="fr-FR"/>
        </w:rPr>
        <w:t xml:space="preserve"> hublot de contrôle d’un ROV : 3</w:t>
      </w:r>
      <w:r w:rsidRPr="004F6464">
        <w:rPr>
          <w:rFonts w:eastAsia="Times New Roman" w:cs="Helvetica"/>
          <w:lang w:eastAsia="fr-FR"/>
        </w:rPr>
        <w:t xml:space="preserve"> h</w:t>
      </w:r>
    </w:p>
    <w:p w:rsidR="00831206" w:rsidRPr="004F6464" w:rsidRDefault="00EA32BC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Séance 7</w:t>
      </w:r>
      <w:r w:rsidR="00831206" w:rsidRPr="004F6464">
        <w:rPr>
          <w:rFonts w:eastAsia="Times New Roman" w:cs="Helvetica"/>
          <w:b/>
          <w:lang w:eastAsia="fr-FR"/>
        </w:rPr>
        <w:t xml:space="preserve"> :</w:t>
      </w:r>
      <w:r w:rsidR="00366FE0" w:rsidRPr="004F6464">
        <w:rPr>
          <w:rFonts w:eastAsia="Times New Roman" w:cs="Helvetica"/>
          <w:lang w:eastAsia="fr-FR"/>
        </w:rPr>
        <w:t xml:space="preserve"> Synthèse de la séquence : 3</w:t>
      </w:r>
      <w:r w:rsidR="00831206" w:rsidRPr="004F6464">
        <w:rPr>
          <w:rFonts w:eastAsia="Times New Roman" w:cs="Helvetica"/>
          <w:lang w:eastAsia="fr-FR"/>
        </w:rPr>
        <w:t xml:space="preserve"> h</w:t>
      </w:r>
    </w:p>
    <w:p w:rsidR="00831206" w:rsidRDefault="00EA32BC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  <w:r w:rsidRPr="004F6464">
        <w:rPr>
          <w:rFonts w:eastAsia="Times New Roman" w:cs="Helvetica"/>
          <w:b/>
          <w:lang w:eastAsia="fr-FR"/>
        </w:rPr>
        <w:t>Séance 8</w:t>
      </w:r>
      <w:r w:rsidR="00831206" w:rsidRPr="004F6464">
        <w:rPr>
          <w:rFonts w:eastAsia="Times New Roman" w:cs="Helvetica"/>
          <w:b/>
          <w:lang w:eastAsia="fr-FR"/>
        </w:rPr>
        <w:t xml:space="preserve"> :</w:t>
      </w:r>
      <w:r w:rsidR="00397DF8" w:rsidRPr="004F6464">
        <w:rPr>
          <w:rFonts w:eastAsia="Times New Roman" w:cs="Helvetica"/>
          <w:lang w:eastAsia="fr-FR"/>
        </w:rPr>
        <w:t xml:space="preserve"> Évaluation : 3</w:t>
      </w:r>
      <w:r w:rsidR="00831206" w:rsidRPr="004F6464">
        <w:rPr>
          <w:rFonts w:eastAsia="Times New Roman" w:cs="Helvetica"/>
          <w:lang w:eastAsia="fr-FR"/>
        </w:rPr>
        <w:t xml:space="preserve"> h</w:t>
      </w:r>
    </w:p>
    <w:p w:rsidR="004F6464" w:rsidRDefault="004F6464" w:rsidP="00085046">
      <w:pPr>
        <w:shd w:val="clear" w:color="auto" w:fill="FFFFFF"/>
        <w:spacing w:after="120" w:line="240" w:lineRule="auto"/>
        <w:ind w:firstLine="425"/>
        <w:rPr>
          <w:rFonts w:eastAsia="Times New Roman" w:cs="Helvetica"/>
          <w:lang w:eastAsia="fr-FR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4503"/>
        <w:gridCol w:w="4709"/>
      </w:tblGrid>
      <w:tr w:rsidR="004F6464" w:rsidTr="00592394">
        <w:tc>
          <w:tcPr>
            <w:tcW w:w="9212" w:type="dxa"/>
            <w:gridSpan w:val="2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</w:rPr>
            </w:pPr>
            <w:r w:rsidRPr="004F6464">
              <w:rPr>
                <w:rFonts w:asciiTheme="minorHAnsi" w:hAnsiTheme="minorHAnsi" w:cs="Helvetica"/>
                <w:b/>
                <w:sz w:val="22"/>
                <w:szCs w:val="22"/>
              </w:rPr>
              <w:t>Séance 1</w:t>
            </w:r>
          </w:p>
        </w:tc>
      </w:tr>
      <w:tr w:rsidR="004F6464" w:rsidTr="00592394">
        <w:tc>
          <w:tcPr>
            <w:tcW w:w="4503" w:type="dxa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compétences</w:t>
            </w:r>
          </w:p>
        </w:tc>
        <w:tc>
          <w:tcPr>
            <w:tcW w:w="4709" w:type="dxa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connaissances</w:t>
            </w:r>
          </w:p>
        </w:tc>
      </w:tr>
      <w:tr w:rsidR="004F6464" w:rsidTr="00592394">
        <w:tc>
          <w:tcPr>
            <w:tcW w:w="4503" w:type="dxa"/>
          </w:tcPr>
          <w:p w:rsidR="00A3564E" w:rsidRPr="00A3564E" w:rsidRDefault="00A3564E" w:rsidP="00A3564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 w:rsidRPr="00A3564E">
              <w:rPr>
                <w:rFonts w:cs="Helvetica"/>
                <w:b/>
                <w:color w:val="333333"/>
                <w:sz w:val="17"/>
                <w:szCs w:val="17"/>
              </w:rPr>
              <w:t xml:space="preserve">CO4.2. </w:t>
            </w:r>
            <w:r w:rsidRPr="00A3564E">
              <w:rPr>
                <w:rFonts w:cs="Helvetica"/>
                <w:color w:val="333333"/>
                <w:sz w:val="17"/>
                <w:szCs w:val="17"/>
              </w:rPr>
              <w:t>Décrire le fonctionnement et/ou l’exploitation d’un système en utilisant l'outil de description le plus pertinent</w:t>
            </w:r>
          </w:p>
        </w:tc>
        <w:tc>
          <w:tcPr>
            <w:tcW w:w="4709" w:type="dxa"/>
            <w:vAlign w:val="center"/>
          </w:tcPr>
          <w:p w:rsidR="004F6464" w:rsidRPr="001331EA" w:rsidRDefault="004F6464" w:rsidP="00EF7EDE">
            <w:pPr>
              <w:outlineLvl w:val="3"/>
              <w:rPr>
                <w:rFonts w:cs="Helvetica"/>
                <w:color w:val="333333"/>
                <w:sz w:val="17"/>
                <w:szCs w:val="17"/>
              </w:rPr>
            </w:pPr>
            <w:r w:rsidRPr="00866308">
              <w:rPr>
                <w:rFonts w:cs="Helvetica"/>
                <w:b/>
                <w:color w:val="333333"/>
                <w:sz w:val="17"/>
                <w:szCs w:val="17"/>
              </w:rPr>
              <w:t xml:space="preserve">1.1.2. </w:t>
            </w:r>
            <w:r w:rsidRPr="001331EA">
              <w:rPr>
                <w:rFonts w:cs="Helvetica"/>
                <w:color w:val="333333"/>
                <w:sz w:val="17"/>
                <w:szCs w:val="17"/>
              </w:rPr>
              <w:t>Communication technique</w:t>
            </w:r>
          </w:p>
        </w:tc>
      </w:tr>
      <w:tr w:rsidR="004F6464" w:rsidTr="00592394">
        <w:tc>
          <w:tcPr>
            <w:tcW w:w="9212" w:type="dxa"/>
            <w:gridSpan w:val="2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Séance 2</w:t>
            </w:r>
          </w:p>
        </w:tc>
      </w:tr>
      <w:tr w:rsidR="004F6464" w:rsidTr="00592394">
        <w:tc>
          <w:tcPr>
            <w:tcW w:w="4503" w:type="dxa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compétences</w:t>
            </w:r>
          </w:p>
        </w:tc>
        <w:tc>
          <w:tcPr>
            <w:tcW w:w="4709" w:type="dxa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connaissances</w:t>
            </w:r>
          </w:p>
        </w:tc>
      </w:tr>
      <w:tr w:rsidR="004F6464" w:rsidTr="00592394">
        <w:tc>
          <w:tcPr>
            <w:tcW w:w="4503" w:type="dxa"/>
          </w:tcPr>
          <w:p w:rsidR="004F6464" w:rsidRPr="001331EA" w:rsidRDefault="00A3564E" w:rsidP="004F6464">
            <w:pPr>
              <w:shd w:val="clear" w:color="auto" w:fill="FFFFFF"/>
              <w:rPr>
                <w:rFonts w:cs="Helvetica"/>
                <w:sz w:val="18"/>
                <w:szCs w:val="18"/>
              </w:rPr>
            </w:pPr>
            <w:r w:rsidRPr="00A3564E">
              <w:rPr>
                <w:rFonts w:cs="Helvetica"/>
                <w:b/>
                <w:color w:val="333333"/>
                <w:sz w:val="17"/>
                <w:szCs w:val="17"/>
              </w:rPr>
              <w:t>CO4.3.</w:t>
            </w:r>
            <w:r w:rsidRPr="00A3564E">
              <w:rPr>
                <w:rFonts w:cs="Helvetica"/>
                <w:sz w:val="18"/>
                <w:szCs w:val="18"/>
              </w:rPr>
              <w:t xml:space="preserve"> </w:t>
            </w:r>
            <w:r w:rsidRPr="00A3564E">
              <w:rPr>
                <w:rFonts w:cs="Helvetica"/>
                <w:color w:val="333333"/>
                <w:sz w:val="17"/>
                <w:szCs w:val="17"/>
              </w:rPr>
              <w:t>Présenter et argumenter des démarches, des résultats, y compris dans une langue étrangère</w:t>
            </w:r>
          </w:p>
        </w:tc>
        <w:tc>
          <w:tcPr>
            <w:tcW w:w="4709" w:type="dxa"/>
            <w:vAlign w:val="center"/>
          </w:tcPr>
          <w:p w:rsidR="004F6464" w:rsidRPr="001331EA" w:rsidRDefault="004F6464" w:rsidP="00EF7EDE">
            <w:pPr>
              <w:outlineLvl w:val="3"/>
              <w:rPr>
                <w:rFonts w:cs="Helvetica"/>
                <w:color w:val="333333"/>
                <w:sz w:val="17"/>
                <w:szCs w:val="17"/>
              </w:rPr>
            </w:pPr>
            <w:r w:rsidRPr="00866308">
              <w:rPr>
                <w:rFonts w:cs="Helvetica"/>
                <w:b/>
                <w:color w:val="333333"/>
                <w:sz w:val="17"/>
                <w:szCs w:val="17"/>
              </w:rPr>
              <w:t xml:space="preserve">1.1.2. </w:t>
            </w:r>
            <w:r w:rsidRPr="001331EA">
              <w:rPr>
                <w:rFonts w:cs="Helvetica"/>
                <w:color w:val="333333"/>
                <w:sz w:val="17"/>
                <w:szCs w:val="17"/>
              </w:rPr>
              <w:t>Communication technique</w:t>
            </w:r>
          </w:p>
        </w:tc>
      </w:tr>
      <w:tr w:rsidR="004F6464" w:rsidTr="00592394">
        <w:tc>
          <w:tcPr>
            <w:tcW w:w="9212" w:type="dxa"/>
            <w:gridSpan w:val="2"/>
            <w:vAlign w:val="center"/>
          </w:tcPr>
          <w:p w:rsidR="004F6464" w:rsidRPr="00866308" w:rsidRDefault="004F6464" w:rsidP="004F6464">
            <w:pPr>
              <w:jc w:val="center"/>
              <w:outlineLvl w:val="3"/>
              <w:rPr>
                <w:rFonts w:cs="Helvetica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Séance 3</w:t>
            </w:r>
            <w:r w:rsidR="00592394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et 4</w:t>
            </w:r>
          </w:p>
        </w:tc>
      </w:tr>
      <w:tr w:rsidR="004F6464" w:rsidTr="00592394">
        <w:tc>
          <w:tcPr>
            <w:tcW w:w="4503" w:type="dxa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compétences</w:t>
            </w:r>
          </w:p>
        </w:tc>
        <w:tc>
          <w:tcPr>
            <w:tcW w:w="4709" w:type="dxa"/>
            <w:vAlign w:val="center"/>
          </w:tcPr>
          <w:p w:rsidR="004F6464" w:rsidRPr="00866308" w:rsidRDefault="004F6464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connaissances</w:t>
            </w:r>
          </w:p>
        </w:tc>
      </w:tr>
      <w:tr w:rsidR="004F6464" w:rsidTr="00592394">
        <w:tc>
          <w:tcPr>
            <w:tcW w:w="4503" w:type="dxa"/>
          </w:tcPr>
          <w:p w:rsidR="004F6464" w:rsidRDefault="004F6464" w:rsidP="00592394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 w:rsidRPr="001331EA">
              <w:rPr>
                <w:rFonts w:cs="Helvetica"/>
                <w:b/>
                <w:color w:val="333333"/>
                <w:sz w:val="17"/>
                <w:szCs w:val="17"/>
              </w:rPr>
              <w:t>C</w:t>
            </w:r>
            <w:r w:rsidR="00592394">
              <w:rPr>
                <w:rFonts w:cs="Helvetica"/>
                <w:b/>
                <w:color w:val="333333"/>
                <w:sz w:val="17"/>
                <w:szCs w:val="17"/>
              </w:rPr>
              <w:t>ours</w:t>
            </w:r>
          </w:p>
          <w:p w:rsidR="00592394" w:rsidRPr="001331EA" w:rsidRDefault="00592394" w:rsidP="00592394">
            <w:pPr>
              <w:shd w:val="clear" w:color="auto" w:fill="FFFFFF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>TD</w:t>
            </w:r>
          </w:p>
        </w:tc>
        <w:tc>
          <w:tcPr>
            <w:tcW w:w="4709" w:type="dxa"/>
            <w:vAlign w:val="center"/>
          </w:tcPr>
          <w:p w:rsidR="004F6464" w:rsidRPr="001331EA" w:rsidRDefault="00A3564E" w:rsidP="00A3564E">
            <w:pPr>
              <w:outlineLvl w:val="3"/>
              <w:rPr>
                <w:rFonts w:cs="Helvetica"/>
                <w:color w:val="333333"/>
                <w:sz w:val="17"/>
                <w:szCs w:val="17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>3.2.2</w:t>
            </w:r>
            <w:r w:rsidR="004F6464" w:rsidRPr="00866308">
              <w:rPr>
                <w:rFonts w:cs="Helvetica"/>
                <w:b/>
                <w:color w:val="333333"/>
                <w:sz w:val="17"/>
                <w:szCs w:val="17"/>
              </w:rPr>
              <w:t xml:space="preserve">. </w:t>
            </w:r>
            <w:r w:rsidRPr="00A3564E">
              <w:rPr>
                <w:rFonts w:cs="Helvetica"/>
                <w:color w:val="333333"/>
                <w:sz w:val="17"/>
                <w:szCs w:val="17"/>
              </w:rPr>
              <w:t>principe fondamental de la statique et</w:t>
            </w:r>
            <w:r>
              <w:rPr>
                <w:rFonts w:cs="Helvetica"/>
                <w:b/>
                <w:color w:val="333333"/>
                <w:sz w:val="17"/>
                <w:szCs w:val="17"/>
              </w:rPr>
              <w:t xml:space="preserve"> </w:t>
            </w:r>
            <w:r w:rsidRPr="00A3564E">
              <w:rPr>
                <w:rFonts w:cs="Helvetica"/>
                <w:color w:val="333333"/>
                <w:sz w:val="17"/>
                <w:szCs w:val="17"/>
              </w:rPr>
              <w:t>modélisation des actions mécaniques</w:t>
            </w:r>
          </w:p>
        </w:tc>
      </w:tr>
      <w:tr w:rsidR="00A3564E" w:rsidTr="00592394">
        <w:tc>
          <w:tcPr>
            <w:tcW w:w="9212" w:type="dxa"/>
            <w:gridSpan w:val="2"/>
          </w:tcPr>
          <w:p w:rsidR="00A3564E" w:rsidRDefault="00A3564E" w:rsidP="00A3564E">
            <w:pPr>
              <w:jc w:val="center"/>
              <w:outlineLvl w:val="3"/>
              <w:rPr>
                <w:rFonts w:cs="Helvetica"/>
                <w:b/>
                <w:color w:val="333333"/>
                <w:sz w:val="17"/>
                <w:szCs w:val="17"/>
              </w:rPr>
            </w:pPr>
            <w:r w:rsidRPr="00A3564E">
              <w:rPr>
                <w:rFonts w:asciiTheme="minorHAnsi" w:hAnsiTheme="minorHAnsi" w:cs="Helvetica"/>
                <w:b/>
                <w:sz w:val="22"/>
                <w:szCs w:val="22"/>
              </w:rPr>
              <w:t>Séance 5</w:t>
            </w:r>
          </w:p>
        </w:tc>
      </w:tr>
      <w:tr w:rsidR="00A3564E" w:rsidTr="00592394">
        <w:tc>
          <w:tcPr>
            <w:tcW w:w="4503" w:type="dxa"/>
            <w:vAlign w:val="center"/>
          </w:tcPr>
          <w:p w:rsidR="00A3564E" w:rsidRPr="00866308" w:rsidRDefault="00A3564E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compétences</w:t>
            </w:r>
          </w:p>
        </w:tc>
        <w:tc>
          <w:tcPr>
            <w:tcW w:w="4709" w:type="dxa"/>
            <w:vAlign w:val="center"/>
          </w:tcPr>
          <w:p w:rsidR="00A3564E" w:rsidRPr="00866308" w:rsidRDefault="00A3564E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connaissances</w:t>
            </w:r>
          </w:p>
        </w:tc>
      </w:tr>
      <w:tr w:rsidR="00A3564E" w:rsidTr="00592394">
        <w:tc>
          <w:tcPr>
            <w:tcW w:w="4503" w:type="dxa"/>
            <w:vMerge w:val="restart"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 w:rsidRPr="007416C9">
              <w:rPr>
                <w:rFonts w:cs="Helvetica"/>
                <w:b/>
                <w:color w:val="333333"/>
                <w:sz w:val="17"/>
                <w:szCs w:val="17"/>
              </w:rPr>
              <w:t xml:space="preserve">CO1.1. </w:t>
            </w:r>
            <w:r w:rsidRPr="007416C9">
              <w:rPr>
                <w:rFonts w:cs="Helvetica"/>
                <w:color w:val="333333"/>
                <w:sz w:val="17"/>
                <w:szCs w:val="17"/>
              </w:rPr>
              <w:t>Justifier les choix des structures matérielles et/ou logicielles d’un produit, identifier les flux mis en œuvre dans une approche de développement durable</w:t>
            </w:r>
          </w:p>
        </w:tc>
        <w:tc>
          <w:tcPr>
            <w:tcW w:w="4709" w:type="dxa"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>1.5.3.</w:t>
            </w:r>
            <w:r w:rsidRPr="00C51D08">
              <w:rPr>
                <w:rFonts w:cs="Helvetica"/>
                <w:color w:val="333333"/>
                <w:sz w:val="17"/>
                <w:szCs w:val="17"/>
              </w:rPr>
              <w:t xml:space="preserve"> </w:t>
            </w:r>
            <w:r w:rsidRPr="00810377">
              <w:rPr>
                <w:rFonts w:cs="Helvetica"/>
                <w:color w:val="333333"/>
                <w:sz w:val="17"/>
                <w:szCs w:val="17"/>
              </w:rPr>
              <w:t>Propriétés physico-chimiques, mécaniques et thermiques des matériaux.</w:t>
            </w:r>
          </w:p>
        </w:tc>
      </w:tr>
      <w:tr w:rsidR="00A3564E" w:rsidTr="00592394">
        <w:tc>
          <w:tcPr>
            <w:tcW w:w="4503" w:type="dxa"/>
            <w:vMerge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sz w:val="18"/>
                <w:szCs w:val="18"/>
              </w:rPr>
            </w:pPr>
          </w:p>
        </w:tc>
        <w:tc>
          <w:tcPr>
            <w:tcW w:w="4709" w:type="dxa"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sz w:val="18"/>
                <w:szCs w:val="18"/>
              </w:rPr>
            </w:pPr>
            <w:r w:rsidRPr="007416C9">
              <w:rPr>
                <w:rFonts w:cs="Helvetica"/>
                <w:b/>
                <w:color w:val="333333"/>
                <w:sz w:val="17"/>
                <w:szCs w:val="17"/>
              </w:rPr>
              <w:t>3.2.3</w:t>
            </w:r>
            <w:r>
              <w:rPr>
                <w:rFonts w:cs="Helvetica"/>
                <w:b/>
                <w:color w:val="333333"/>
                <w:sz w:val="17"/>
                <w:szCs w:val="17"/>
              </w:rPr>
              <w:t>.</w:t>
            </w:r>
            <w:r w:rsidRPr="007416C9">
              <w:rPr>
                <w:rFonts w:cs="Helvetica"/>
                <w:b/>
                <w:color w:val="333333"/>
                <w:sz w:val="17"/>
                <w:szCs w:val="17"/>
              </w:rPr>
              <w:t xml:space="preserve"> </w:t>
            </w:r>
            <w:r w:rsidRPr="007416C9">
              <w:rPr>
                <w:rFonts w:cs="Helvetica"/>
                <w:color w:val="333333"/>
                <w:sz w:val="17"/>
                <w:szCs w:val="17"/>
              </w:rPr>
              <w:t>Concept de résistance</w:t>
            </w:r>
          </w:p>
        </w:tc>
      </w:tr>
      <w:tr w:rsidR="00A3564E" w:rsidTr="00592394">
        <w:trPr>
          <w:trHeight w:val="646"/>
        </w:trPr>
        <w:tc>
          <w:tcPr>
            <w:tcW w:w="4503" w:type="dxa"/>
          </w:tcPr>
          <w:p w:rsidR="00A3564E" w:rsidRPr="00512F72" w:rsidRDefault="00A3564E" w:rsidP="00EF7EDE">
            <w:pPr>
              <w:rPr>
                <w:rFonts w:cs="Helvetica"/>
                <w:sz w:val="17"/>
                <w:szCs w:val="17"/>
              </w:rPr>
            </w:pPr>
            <w:r w:rsidRPr="00DA0106">
              <w:rPr>
                <w:rFonts w:cs="Helvetica"/>
                <w:b/>
                <w:color w:val="333333"/>
                <w:sz w:val="17"/>
                <w:szCs w:val="17"/>
              </w:rPr>
              <w:t>CO6.3.</w:t>
            </w:r>
            <w:r>
              <w:rPr>
                <w:rFonts w:ascii="&quot;Verdana&quot;" w:hAnsi="&quot;Verdana&quot;"/>
                <w:sz w:val="22"/>
                <w:szCs w:val="22"/>
              </w:rPr>
              <w:t xml:space="preserve"> </w:t>
            </w:r>
            <w:r w:rsidRPr="00DA0106">
              <w:rPr>
                <w:rFonts w:cs="Helvetica"/>
                <w:sz w:val="17"/>
                <w:szCs w:val="17"/>
              </w:rPr>
              <w:t>Évaluer un écart entre le comportement du réel et les résultats  fournis par le modèle en fonction des paramètres proposés, conclure sur la validité du modèle</w:t>
            </w:r>
          </w:p>
        </w:tc>
        <w:tc>
          <w:tcPr>
            <w:tcW w:w="4709" w:type="dxa"/>
            <w:vMerge w:val="restart"/>
            <w:vAlign w:val="center"/>
          </w:tcPr>
          <w:p w:rsidR="00A3564E" w:rsidRPr="007416C9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 xml:space="preserve">3.1.4. </w:t>
            </w:r>
            <w:r w:rsidRPr="00512F72">
              <w:rPr>
                <w:rFonts w:cs="Helvetica"/>
                <w:color w:val="333333"/>
                <w:sz w:val="17"/>
                <w:szCs w:val="17"/>
              </w:rPr>
              <w:t>Interprétation des résultats d’une simulation : courbe, tableau, graphe, unités associées</w:t>
            </w:r>
          </w:p>
        </w:tc>
      </w:tr>
      <w:tr w:rsidR="00A3564E" w:rsidTr="00592394">
        <w:tc>
          <w:tcPr>
            <w:tcW w:w="4503" w:type="dxa"/>
          </w:tcPr>
          <w:p w:rsidR="00A3564E" w:rsidRPr="00512F72" w:rsidRDefault="00A3564E" w:rsidP="00EF7EDE">
            <w:pPr>
              <w:rPr>
                <w:rFonts w:ascii="&quot;Verdana&quot;" w:hAnsi="&quot;Verdana&quot;"/>
              </w:rPr>
            </w:pPr>
            <w:r w:rsidRPr="00DA0106">
              <w:rPr>
                <w:rFonts w:cs="Helvetica"/>
                <w:b/>
                <w:color w:val="333333"/>
                <w:sz w:val="17"/>
                <w:szCs w:val="17"/>
              </w:rPr>
              <w:t>CO6.5.</w:t>
            </w:r>
            <w:r>
              <w:rPr>
                <w:rFonts w:ascii="&quot;Verdana&quot;" w:hAnsi="&quot;Verdana&quot;"/>
                <w:sz w:val="22"/>
                <w:szCs w:val="22"/>
              </w:rPr>
              <w:t xml:space="preserve"> </w:t>
            </w:r>
            <w:r w:rsidRPr="00DA0106">
              <w:rPr>
                <w:rFonts w:cs="Helvetica"/>
                <w:sz w:val="17"/>
                <w:szCs w:val="17"/>
              </w:rPr>
              <w:t>Interpréter les résultats d’une simulation et conclure sur la performance de la solution</w:t>
            </w:r>
          </w:p>
        </w:tc>
        <w:tc>
          <w:tcPr>
            <w:tcW w:w="4709" w:type="dxa"/>
            <w:vMerge/>
          </w:tcPr>
          <w:p w:rsidR="00A3564E" w:rsidRPr="007416C9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</w:p>
        </w:tc>
      </w:tr>
      <w:tr w:rsidR="00A3564E" w:rsidTr="00592394">
        <w:tc>
          <w:tcPr>
            <w:tcW w:w="9212" w:type="dxa"/>
            <w:gridSpan w:val="2"/>
            <w:vAlign w:val="center"/>
          </w:tcPr>
          <w:p w:rsidR="00A3564E" w:rsidRPr="00866308" w:rsidRDefault="00A3564E" w:rsidP="00EF7EDE">
            <w:pPr>
              <w:jc w:val="center"/>
              <w:outlineLvl w:val="3"/>
              <w:rPr>
                <w:rFonts w:cs="Helvetica"/>
              </w:rPr>
            </w:pPr>
            <w:r>
              <w:rPr>
                <w:rFonts w:asciiTheme="minorHAnsi" w:hAnsiTheme="minorHAnsi" w:cs="Helvetica"/>
                <w:b/>
                <w:sz w:val="22"/>
                <w:szCs w:val="22"/>
              </w:rPr>
              <w:t>Séance 6</w:t>
            </w:r>
            <w:r w:rsidRPr="004F6464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:</w:t>
            </w:r>
          </w:p>
        </w:tc>
      </w:tr>
      <w:tr w:rsidR="00A3564E" w:rsidTr="00592394">
        <w:tc>
          <w:tcPr>
            <w:tcW w:w="4503" w:type="dxa"/>
          </w:tcPr>
          <w:p w:rsidR="00A3564E" w:rsidRPr="00866308" w:rsidRDefault="00A3564E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compétences</w:t>
            </w:r>
          </w:p>
        </w:tc>
        <w:tc>
          <w:tcPr>
            <w:tcW w:w="4709" w:type="dxa"/>
          </w:tcPr>
          <w:p w:rsidR="00A3564E" w:rsidRPr="00866308" w:rsidRDefault="00A3564E" w:rsidP="00EF7EDE">
            <w:pPr>
              <w:jc w:val="center"/>
              <w:outlineLvl w:val="3"/>
              <w:rPr>
                <w:rFonts w:cs="Helvetica"/>
                <w:sz w:val="22"/>
                <w:szCs w:val="22"/>
              </w:rPr>
            </w:pPr>
            <w:r w:rsidRPr="00866308">
              <w:rPr>
                <w:rFonts w:cs="Helvetica"/>
                <w:sz w:val="22"/>
                <w:szCs w:val="22"/>
              </w:rPr>
              <w:t>connaissances</w:t>
            </w:r>
          </w:p>
        </w:tc>
      </w:tr>
      <w:tr w:rsidR="00A3564E" w:rsidTr="00592394">
        <w:tc>
          <w:tcPr>
            <w:tcW w:w="4503" w:type="dxa"/>
            <w:vMerge w:val="restart"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 w:rsidRPr="007416C9">
              <w:rPr>
                <w:rFonts w:cs="Helvetica"/>
                <w:b/>
                <w:color w:val="333333"/>
                <w:sz w:val="17"/>
                <w:szCs w:val="17"/>
              </w:rPr>
              <w:t xml:space="preserve">CO1.1. </w:t>
            </w:r>
            <w:r w:rsidRPr="007416C9">
              <w:rPr>
                <w:rFonts w:cs="Helvetica"/>
                <w:color w:val="333333"/>
                <w:sz w:val="17"/>
                <w:szCs w:val="17"/>
              </w:rPr>
              <w:t>Justifier les choix des structures matérielles et/ou logicielles d’un produit, identifier les flux mis en œuvre dans une approche de développement durable</w:t>
            </w:r>
          </w:p>
        </w:tc>
        <w:tc>
          <w:tcPr>
            <w:tcW w:w="4709" w:type="dxa"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>1.5.3.</w:t>
            </w:r>
            <w:r w:rsidRPr="00C51D08">
              <w:rPr>
                <w:rFonts w:cs="Helvetica"/>
                <w:color w:val="333333"/>
                <w:sz w:val="17"/>
                <w:szCs w:val="17"/>
              </w:rPr>
              <w:t xml:space="preserve"> </w:t>
            </w:r>
            <w:r w:rsidRPr="00810377">
              <w:rPr>
                <w:rFonts w:cs="Helvetica"/>
                <w:color w:val="333333"/>
                <w:sz w:val="17"/>
                <w:szCs w:val="17"/>
              </w:rPr>
              <w:t>Propriétés physico-chimiques, mécaniques et thermiques des matériaux.</w:t>
            </w:r>
          </w:p>
        </w:tc>
      </w:tr>
      <w:tr w:rsidR="00A3564E" w:rsidTr="00592394">
        <w:tc>
          <w:tcPr>
            <w:tcW w:w="4503" w:type="dxa"/>
            <w:vMerge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sz w:val="18"/>
                <w:szCs w:val="18"/>
              </w:rPr>
            </w:pPr>
          </w:p>
        </w:tc>
        <w:tc>
          <w:tcPr>
            <w:tcW w:w="4709" w:type="dxa"/>
          </w:tcPr>
          <w:p w:rsidR="00A3564E" w:rsidRPr="001331EA" w:rsidRDefault="00A3564E" w:rsidP="00EF7EDE">
            <w:pPr>
              <w:shd w:val="clear" w:color="auto" w:fill="FFFFFF"/>
              <w:rPr>
                <w:rFonts w:cs="Helvetica"/>
                <w:sz w:val="18"/>
                <w:szCs w:val="18"/>
              </w:rPr>
            </w:pPr>
            <w:r w:rsidRPr="007416C9">
              <w:rPr>
                <w:rFonts w:cs="Helvetica"/>
                <w:b/>
                <w:color w:val="333333"/>
                <w:sz w:val="17"/>
                <w:szCs w:val="17"/>
              </w:rPr>
              <w:t>3.2.3</w:t>
            </w:r>
            <w:r>
              <w:rPr>
                <w:rFonts w:cs="Helvetica"/>
                <w:b/>
                <w:color w:val="333333"/>
                <w:sz w:val="17"/>
                <w:szCs w:val="17"/>
              </w:rPr>
              <w:t>.</w:t>
            </w:r>
            <w:r w:rsidRPr="007416C9">
              <w:rPr>
                <w:rFonts w:cs="Helvetica"/>
                <w:b/>
                <w:color w:val="333333"/>
                <w:sz w:val="17"/>
                <w:szCs w:val="17"/>
              </w:rPr>
              <w:t xml:space="preserve"> </w:t>
            </w:r>
            <w:r w:rsidRPr="007416C9">
              <w:rPr>
                <w:rFonts w:cs="Helvetica"/>
                <w:color w:val="333333"/>
                <w:sz w:val="17"/>
                <w:szCs w:val="17"/>
              </w:rPr>
              <w:t>Concept de résistance</w:t>
            </w:r>
          </w:p>
        </w:tc>
      </w:tr>
      <w:tr w:rsidR="00A3564E" w:rsidTr="00592394">
        <w:tc>
          <w:tcPr>
            <w:tcW w:w="4503" w:type="dxa"/>
          </w:tcPr>
          <w:p w:rsidR="00A3564E" w:rsidRDefault="00A3564E" w:rsidP="00EF7EDE">
            <w:pPr>
              <w:rPr>
                <w:rFonts w:ascii="&quot;Verdana&quot;" w:hAnsi="&quot;Verdana&quot;"/>
              </w:rPr>
            </w:pPr>
            <w:r w:rsidRPr="001C4A42">
              <w:rPr>
                <w:rFonts w:cs="Helvetica"/>
                <w:b/>
                <w:color w:val="333333"/>
                <w:sz w:val="17"/>
                <w:szCs w:val="17"/>
              </w:rPr>
              <w:t>CO1.2.</w:t>
            </w:r>
            <w:r>
              <w:rPr>
                <w:rFonts w:ascii="&quot;Verdana&quot;" w:hAnsi="&quot;Verdana&quot;"/>
                <w:sz w:val="22"/>
                <w:szCs w:val="22"/>
              </w:rPr>
              <w:t xml:space="preserve"> </w:t>
            </w:r>
            <w:r w:rsidRPr="001C4A42">
              <w:rPr>
                <w:rFonts w:cs="Helvetica"/>
                <w:sz w:val="17"/>
                <w:szCs w:val="17"/>
              </w:rPr>
              <w:t>Justifier le choix d’une solution selon des contraintes d’ergonomie et de design</w:t>
            </w:r>
          </w:p>
          <w:p w:rsidR="00A3564E" w:rsidRPr="00DA0106" w:rsidRDefault="00A3564E" w:rsidP="00EF7EDE">
            <w:pPr>
              <w:rPr>
                <w:rFonts w:cs="Helvetica"/>
                <w:b/>
                <w:color w:val="333333"/>
                <w:sz w:val="17"/>
                <w:szCs w:val="17"/>
              </w:rPr>
            </w:pPr>
          </w:p>
        </w:tc>
        <w:tc>
          <w:tcPr>
            <w:tcW w:w="4709" w:type="dxa"/>
          </w:tcPr>
          <w:p w:rsidR="00A3564E" w:rsidRDefault="00A3564E" w:rsidP="00EF7EDE">
            <w:pPr>
              <w:shd w:val="clear" w:color="auto" w:fill="FFFFFF"/>
              <w:tabs>
                <w:tab w:val="left" w:pos="33"/>
              </w:tabs>
              <w:rPr>
                <w:rFonts w:cs="Helvetica"/>
                <w:b/>
                <w:color w:val="333333"/>
                <w:sz w:val="17"/>
                <w:szCs w:val="17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 xml:space="preserve">4.2.3.1. </w:t>
            </w:r>
            <w:r w:rsidRPr="001C4A42">
              <w:rPr>
                <w:rFonts w:cs="Helvetica"/>
                <w:color w:val="333333"/>
                <w:sz w:val="17"/>
                <w:szCs w:val="17"/>
              </w:rPr>
              <w:t>Choix d’une solution : critères de choix associés à une conception ou à l’intégration d’une solution dans un produit - coût, fiabilité, environnement, ergonomie et design - Matrice de comparaison de plusieurs critères.</w:t>
            </w:r>
          </w:p>
        </w:tc>
      </w:tr>
      <w:tr w:rsidR="00A3564E" w:rsidTr="00592394">
        <w:trPr>
          <w:trHeight w:val="516"/>
        </w:trPr>
        <w:tc>
          <w:tcPr>
            <w:tcW w:w="4503" w:type="dxa"/>
          </w:tcPr>
          <w:p w:rsidR="00A3564E" w:rsidRPr="00595D11" w:rsidRDefault="00A3564E" w:rsidP="00EF7EDE">
            <w:pPr>
              <w:rPr>
                <w:rFonts w:cs="Helvetica"/>
                <w:sz w:val="17"/>
                <w:szCs w:val="17"/>
              </w:rPr>
            </w:pPr>
            <w:r w:rsidRPr="001C4A42">
              <w:rPr>
                <w:rFonts w:cs="Helvetica"/>
                <w:b/>
                <w:color w:val="333333"/>
                <w:sz w:val="17"/>
                <w:szCs w:val="17"/>
              </w:rPr>
              <w:t>CO4.1.</w:t>
            </w:r>
            <w:r>
              <w:rPr>
                <w:rFonts w:ascii="&quot;Verdana&quot;" w:hAnsi="&quot;Verdana&quot;"/>
                <w:sz w:val="22"/>
                <w:szCs w:val="22"/>
              </w:rPr>
              <w:t xml:space="preserve"> </w:t>
            </w:r>
            <w:r w:rsidRPr="001C4A42">
              <w:rPr>
                <w:rFonts w:cs="Helvetica"/>
                <w:sz w:val="17"/>
                <w:szCs w:val="17"/>
              </w:rPr>
              <w:t>Décrire une idée, un principe, une solution, un projet en utilisant des outils de représentation adaptés</w:t>
            </w:r>
          </w:p>
        </w:tc>
        <w:tc>
          <w:tcPr>
            <w:tcW w:w="4709" w:type="dxa"/>
          </w:tcPr>
          <w:p w:rsidR="00A3564E" w:rsidRPr="007416C9" w:rsidRDefault="00A3564E" w:rsidP="00EF7EDE">
            <w:pPr>
              <w:shd w:val="clear" w:color="auto" w:fill="FFFFFF"/>
              <w:tabs>
                <w:tab w:val="left" w:pos="33"/>
              </w:tabs>
              <w:rPr>
                <w:rFonts w:cs="Helvetica"/>
                <w:b/>
                <w:color w:val="333333"/>
                <w:sz w:val="17"/>
                <w:szCs w:val="17"/>
              </w:rPr>
            </w:pPr>
            <w:r w:rsidRPr="001C4A42">
              <w:rPr>
                <w:rFonts w:cs="Helvetica"/>
                <w:b/>
                <w:color w:val="333333"/>
                <w:sz w:val="17"/>
                <w:szCs w:val="17"/>
              </w:rPr>
              <w:t xml:space="preserve">4.1.1. </w:t>
            </w:r>
            <w:r w:rsidRPr="001C4A42">
              <w:rPr>
                <w:rFonts w:cs="Helvetica"/>
                <w:color w:val="333333"/>
                <w:sz w:val="17"/>
                <w:szCs w:val="17"/>
              </w:rPr>
              <w:t>Représentation numérique des produits</w:t>
            </w:r>
          </w:p>
        </w:tc>
      </w:tr>
      <w:tr w:rsidR="00A3564E" w:rsidTr="00592394">
        <w:trPr>
          <w:trHeight w:val="646"/>
        </w:trPr>
        <w:tc>
          <w:tcPr>
            <w:tcW w:w="4503" w:type="dxa"/>
          </w:tcPr>
          <w:p w:rsidR="00A3564E" w:rsidRPr="00512F72" w:rsidRDefault="00A3564E" w:rsidP="00EF7EDE">
            <w:pPr>
              <w:rPr>
                <w:rFonts w:cs="Helvetica"/>
                <w:sz w:val="17"/>
                <w:szCs w:val="17"/>
              </w:rPr>
            </w:pPr>
            <w:r w:rsidRPr="00DA0106">
              <w:rPr>
                <w:rFonts w:cs="Helvetica"/>
                <w:b/>
                <w:color w:val="333333"/>
                <w:sz w:val="17"/>
                <w:szCs w:val="17"/>
              </w:rPr>
              <w:t>CO6.3.</w:t>
            </w:r>
            <w:r>
              <w:rPr>
                <w:rFonts w:ascii="&quot;Verdana&quot;" w:hAnsi="&quot;Verdana&quot;"/>
                <w:sz w:val="22"/>
                <w:szCs w:val="22"/>
              </w:rPr>
              <w:t xml:space="preserve"> </w:t>
            </w:r>
            <w:r w:rsidRPr="00DA0106">
              <w:rPr>
                <w:rFonts w:cs="Helvetica"/>
                <w:sz w:val="17"/>
                <w:szCs w:val="17"/>
              </w:rPr>
              <w:t>Évaluer un écart entre le comportement du réel et les résultats  fournis par le modèle en fonction des paramètres proposés, conclure sur la validité du modèle</w:t>
            </w:r>
          </w:p>
        </w:tc>
        <w:tc>
          <w:tcPr>
            <w:tcW w:w="4709" w:type="dxa"/>
            <w:vMerge w:val="restart"/>
          </w:tcPr>
          <w:p w:rsidR="00A3564E" w:rsidRPr="007416C9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  <w:r>
              <w:rPr>
                <w:rFonts w:cs="Helvetica"/>
                <w:b/>
                <w:color w:val="333333"/>
                <w:sz w:val="17"/>
                <w:szCs w:val="17"/>
              </w:rPr>
              <w:t xml:space="preserve">3.1.4. </w:t>
            </w:r>
            <w:r w:rsidRPr="00512F72">
              <w:rPr>
                <w:rFonts w:cs="Helvetica"/>
                <w:color w:val="333333"/>
                <w:sz w:val="17"/>
                <w:szCs w:val="17"/>
              </w:rPr>
              <w:t>Interprétation des résultats d’une simulation : courbe, tableau, graphe, unités associées</w:t>
            </w:r>
          </w:p>
        </w:tc>
      </w:tr>
      <w:tr w:rsidR="00A3564E" w:rsidTr="00592394">
        <w:tc>
          <w:tcPr>
            <w:tcW w:w="4503" w:type="dxa"/>
          </w:tcPr>
          <w:p w:rsidR="00A3564E" w:rsidRPr="00512F72" w:rsidRDefault="00A3564E" w:rsidP="00EF7EDE">
            <w:pPr>
              <w:rPr>
                <w:rFonts w:ascii="&quot;Verdana&quot;" w:hAnsi="&quot;Verdana&quot;"/>
              </w:rPr>
            </w:pPr>
            <w:r w:rsidRPr="00DA0106">
              <w:rPr>
                <w:rFonts w:cs="Helvetica"/>
                <w:b/>
                <w:color w:val="333333"/>
                <w:sz w:val="17"/>
                <w:szCs w:val="17"/>
              </w:rPr>
              <w:t>CO6.5.</w:t>
            </w:r>
            <w:r>
              <w:rPr>
                <w:rFonts w:ascii="&quot;Verdana&quot;" w:hAnsi="&quot;Verdana&quot;"/>
                <w:sz w:val="22"/>
                <w:szCs w:val="22"/>
              </w:rPr>
              <w:t xml:space="preserve"> </w:t>
            </w:r>
            <w:r w:rsidRPr="00DA0106">
              <w:rPr>
                <w:rFonts w:cs="Helvetica"/>
                <w:sz w:val="17"/>
                <w:szCs w:val="17"/>
              </w:rPr>
              <w:t>Interpréter les résultats d’une simulation et conclure sur la performance de la solution</w:t>
            </w:r>
          </w:p>
        </w:tc>
        <w:tc>
          <w:tcPr>
            <w:tcW w:w="4709" w:type="dxa"/>
            <w:vMerge/>
          </w:tcPr>
          <w:p w:rsidR="00A3564E" w:rsidRPr="007416C9" w:rsidRDefault="00A3564E" w:rsidP="00EF7EDE">
            <w:pPr>
              <w:shd w:val="clear" w:color="auto" w:fill="FFFFFF"/>
              <w:rPr>
                <w:rFonts w:cs="Helvetica"/>
                <w:b/>
                <w:color w:val="333333"/>
                <w:sz w:val="17"/>
                <w:szCs w:val="17"/>
              </w:rPr>
            </w:pPr>
          </w:p>
        </w:tc>
      </w:tr>
    </w:tbl>
    <w:p w:rsidR="00626E49" w:rsidRDefault="00626E49"/>
    <w:sectPr w:rsidR="00626E49" w:rsidSect="000850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EF" w:rsidRDefault="00886EEF" w:rsidP="00831206">
      <w:pPr>
        <w:spacing w:after="0" w:line="240" w:lineRule="auto"/>
      </w:pPr>
      <w:r>
        <w:separator/>
      </w:r>
    </w:p>
  </w:endnote>
  <w:endnote w:type="continuationSeparator" w:id="0">
    <w:p w:rsidR="00886EEF" w:rsidRDefault="00886EEF" w:rsidP="0083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Verdana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EF" w:rsidRDefault="00886EEF" w:rsidP="00831206">
      <w:pPr>
        <w:spacing w:after="0" w:line="240" w:lineRule="auto"/>
      </w:pPr>
      <w:r>
        <w:separator/>
      </w:r>
    </w:p>
  </w:footnote>
  <w:footnote w:type="continuationSeparator" w:id="0">
    <w:p w:rsidR="00886EEF" w:rsidRDefault="00886EEF" w:rsidP="0083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95" w:type="dxa"/>
      <w:tblInd w:w="534" w:type="dxa"/>
      <w:tblLayout w:type="fixed"/>
      <w:tblLook w:val="04A0"/>
    </w:tblPr>
    <w:tblGrid>
      <w:gridCol w:w="1700"/>
      <w:gridCol w:w="6519"/>
      <w:gridCol w:w="1276"/>
    </w:tblGrid>
    <w:tr w:rsidR="00831206" w:rsidTr="00085046">
      <w:trPr>
        <w:trHeight w:val="418"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831206" w:rsidRDefault="00831206">
          <w:pPr>
            <w:pStyle w:val="En-tte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03300" cy="484505"/>
                <wp:effectExtent l="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831206" w:rsidRDefault="00EA32BC" w:rsidP="00EA32BC">
          <w:pPr>
            <w:pStyle w:val="Titrefiche"/>
            <w:ind w:left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</w:t>
          </w:r>
          <w:r w:rsidR="00831206">
            <w:rPr>
              <w:b/>
              <w:sz w:val="28"/>
            </w:rPr>
            <w:t>pécialité ITEC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831206" w:rsidRDefault="00831206">
          <w:pPr>
            <w:pStyle w:val="En-tte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88975" cy="532130"/>
                <wp:effectExtent l="0" t="0" r="0" b="0"/>
                <wp:docPr id="2" name="Image 5" descr="sti2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sti2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1206" w:rsidTr="00085046">
      <w:trPr>
        <w:trHeight w:val="554"/>
      </w:trPr>
      <w:tc>
        <w:tcPr>
          <w:tcW w:w="1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1206" w:rsidRDefault="00831206">
          <w:pPr>
            <w:rPr>
              <w:sz w:val="22"/>
              <w:szCs w:val="22"/>
              <w:lang w:eastAsia="en-US"/>
            </w:rPr>
          </w:pPr>
        </w:p>
      </w:tc>
      <w:tc>
        <w:tcPr>
          <w:tcW w:w="6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:rsidR="00831206" w:rsidRDefault="00672AD3" w:rsidP="00831206">
          <w:pPr>
            <w:pStyle w:val="Titrefiche"/>
            <w:ind w:left="0" w:right="-108" w:hanging="108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PRESENTATION</w:t>
          </w:r>
        </w:p>
        <w:p w:rsidR="00831206" w:rsidRDefault="00831206" w:rsidP="00831206">
          <w:pPr>
            <w:pStyle w:val="Titrefiche"/>
            <w:ind w:left="0" w:right="-108" w:hanging="1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D-DAY : les engins sous-marins au centre de l’action</w:t>
          </w: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1206" w:rsidRDefault="00831206">
          <w:pPr>
            <w:rPr>
              <w:sz w:val="16"/>
              <w:szCs w:val="16"/>
              <w:lang w:eastAsia="en-US"/>
            </w:rPr>
          </w:pPr>
        </w:p>
      </w:tc>
    </w:tr>
  </w:tbl>
  <w:p w:rsidR="00831206" w:rsidRDefault="008312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E8F"/>
    <w:multiLevelType w:val="multilevel"/>
    <w:tmpl w:val="B48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0552D"/>
    <w:multiLevelType w:val="multilevel"/>
    <w:tmpl w:val="D64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C06D9"/>
    <w:multiLevelType w:val="multilevel"/>
    <w:tmpl w:val="AA26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06"/>
    <w:rsid w:val="00085046"/>
    <w:rsid w:val="0017197D"/>
    <w:rsid w:val="00354882"/>
    <w:rsid w:val="00366FE0"/>
    <w:rsid w:val="00397DF8"/>
    <w:rsid w:val="004473EE"/>
    <w:rsid w:val="004F6464"/>
    <w:rsid w:val="00592394"/>
    <w:rsid w:val="00626E49"/>
    <w:rsid w:val="00672AD3"/>
    <w:rsid w:val="006E3784"/>
    <w:rsid w:val="00831206"/>
    <w:rsid w:val="00886EEF"/>
    <w:rsid w:val="008E7ECB"/>
    <w:rsid w:val="008F7043"/>
    <w:rsid w:val="00A3564E"/>
    <w:rsid w:val="00AA7F3A"/>
    <w:rsid w:val="00AF7757"/>
    <w:rsid w:val="00E97BD1"/>
    <w:rsid w:val="00EA32BC"/>
    <w:rsid w:val="00EE37AC"/>
    <w:rsid w:val="00F82F54"/>
    <w:rsid w:val="00F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9"/>
  </w:style>
  <w:style w:type="paragraph" w:styleId="Titre3">
    <w:name w:val="heading 3"/>
    <w:basedOn w:val="Normal"/>
    <w:link w:val="Titre3Car"/>
    <w:uiPriority w:val="9"/>
    <w:qFormat/>
    <w:rsid w:val="00831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312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312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312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206"/>
  </w:style>
  <w:style w:type="paragraph" w:styleId="Pieddepage">
    <w:name w:val="footer"/>
    <w:basedOn w:val="Normal"/>
    <w:link w:val="PieddepageCar"/>
    <w:uiPriority w:val="99"/>
    <w:semiHidden/>
    <w:unhideWhenUsed/>
    <w:rsid w:val="0083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206"/>
  </w:style>
  <w:style w:type="paragraph" w:customStyle="1" w:styleId="Titrefiche">
    <w:name w:val="Titre fiche"/>
    <w:next w:val="Normal"/>
    <w:qFormat/>
    <w:rsid w:val="00831206"/>
    <w:pPr>
      <w:spacing w:after="0" w:line="240" w:lineRule="auto"/>
      <w:ind w:left="851"/>
    </w:pPr>
    <w:rPr>
      <w:rFonts w:ascii="Calibri" w:eastAsia="Times New Roman" w:hAnsi="Calibri" w:cs="Times New Roman"/>
      <w:color w:val="000000"/>
      <w:spacing w:val="5"/>
      <w:sz w:val="36"/>
      <w:szCs w:val="28"/>
      <w:lang w:eastAsia="fr-FR"/>
    </w:rPr>
  </w:style>
  <w:style w:type="table" w:styleId="Grilledutableau">
    <w:name w:val="Table Grid"/>
    <w:basedOn w:val="TableauNormal"/>
    <w:uiPriority w:val="59"/>
    <w:rsid w:val="00831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2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Adminposte</dc:creator>
  <cp:lastModifiedBy>Adminposte</cp:lastModifiedBy>
  <cp:revision>9</cp:revision>
  <dcterms:created xsi:type="dcterms:W3CDTF">2020-07-01T08:32:00Z</dcterms:created>
  <dcterms:modified xsi:type="dcterms:W3CDTF">2020-09-25T09:19:00Z</dcterms:modified>
</cp:coreProperties>
</file>