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ne="http://schemas.microsoft.com/office/word/2006/wordml" xmlns:r="http://schemas.openxmlformats.org/officeDocument/2006/relationships" xmlns:mc="http://schemas.openxmlformats.org/markup-compatibility/2006" xmlns:w="http://schemas.openxmlformats.org/wordprocessingml/2006/main" mc:Ignorable="w14">
  <w:body>
    <w:tbl>
      <w:tblPr>
        <w:tblStyle w:val="Grilledutableau"/>
        <w:tblW w:w="0" w:type="auto"/>
        <w:tblLook w:val="04A0"/>
      </w:tblPr>
      <w:tblGrid>
        <w:gridCol w:w="3227"/>
        <w:gridCol w:w="6551"/>
      </w:tblGrid>
      <w:tr w:rsidRPr="008C3D7F" w:rsidR="0030546E" w:rsidTr="63AE7852" w14:paraId="237D5EAD">
        <w:trPr>
          <w:trHeight w:val="149"/>
        </w:trPr>
        <w:tc>
          <w:tcPr>
            <w:tcW w:w="3227" w:type="dxa"/>
          </w:tcPr>
          <w:p w:rsidRPr="008C3D7F" w:rsidR="0030546E" w:rsidP="00A15C52" w:rsidRDefault="0030546E" w14:paraId="0EA5669F">
            <w:pPr>
              <w:rPr>
                <w:b/>
              </w:rPr>
            </w:pPr>
            <w:r w:rsidRPr="003F1CDC">
              <w:rPr>
                <w:b/>
                <w:sz w:val="24"/>
              </w:rPr>
              <w:t>Chapitre</w:t>
            </w:r>
          </w:p>
        </w:tc>
        <w:tc>
          <w:tcPr>
            <w:tcW w:w="6551" w:type="dxa"/>
          </w:tcPr>
          <w:p w:rsidRPr="003F1CDC" w:rsidR="0030546E" w:rsidP="00A15C52" w:rsidRDefault="0030546E" w14:paraId="705984C3">
            <w:pPr>
              <w:rPr>
                <w:b/>
              </w:rPr>
            </w:pPr>
            <w:r w:rsidRPr="003F1CDC">
              <w:rPr>
                <w:b/>
              </w:rPr>
              <w:t>2. Outils et méthodes d’analyse et de description des systèmes</w:t>
            </w:r>
          </w:p>
        </w:tc>
      </w:tr>
      <w:tr w:rsidRPr="008C3D7F" w:rsidR="0030546E" w:rsidTr="63AE7852" w14:paraId="28293A54">
        <w:trPr>
          <w:trHeight w:val="142"/>
        </w:trPr>
        <w:tc>
          <w:tcPr>
            <w:tcW w:w="3227" w:type="dxa"/>
          </w:tcPr>
          <w:p w:rsidRPr="008C3D7F" w:rsidR="0030546E" w:rsidP="00A15C52" w:rsidRDefault="0030546E" w14:paraId="6BC26B61">
            <w:pPr>
              <w:rPr>
                <w:b/>
              </w:rPr>
            </w:pPr>
            <w:r w:rsidRPr="008C3D7F">
              <w:rPr>
                <w:b/>
              </w:rPr>
              <w:t>Objectif général de formation</w:t>
            </w:r>
          </w:p>
        </w:tc>
        <w:tc>
          <w:tcPr>
            <w:tcW w:w="6551" w:type="dxa"/>
          </w:tcPr>
          <w:p w:rsidR="0030546E" w:rsidP="00A15C52" w:rsidRDefault="0030546E" w14:paraId="7B8F23ED">
            <w:pPr>
              <w:pStyle w:val="Paragraphedeliste"/>
              <w:numPr>
                <w:ilvl w:val="0"/>
                <w:numId w:val="1"/>
              </w:numPr>
            </w:pPr>
            <w:r>
              <w:t xml:space="preserve">identifier les éléments influents d’un système, </w:t>
            </w:r>
          </w:p>
          <w:p w:rsidR="0030546E" w:rsidP="00A15C52" w:rsidRDefault="0030546E" w14:paraId="6A21E840">
            <w:pPr>
              <w:pStyle w:val="Paragraphedeliste"/>
              <w:numPr>
                <w:ilvl w:val="0"/>
                <w:numId w:val="1"/>
              </w:numPr>
            </w:pPr>
            <w:r>
              <w:t>décoder son organisation,</w:t>
            </w:r>
          </w:p>
          <w:p w:rsidRPr="008C3D7F" w:rsidR="0030546E" w:rsidP="00A15C52" w:rsidRDefault="0030546E" w14:paraId="009EC81F">
            <w:pPr>
              <w:pStyle w:val="Paragraphedeliste"/>
              <w:numPr>
                <w:ilvl w:val="0"/>
                <w:numId w:val="1"/>
              </w:numPr>
            </w:pPr>
            <w:r>
              <w:t>utiliser un modèle de comportement pour prédire ou valider ses performances.</w:t>
            </w:r>
          </w:p>
        </w:tc>
      </w:tr>
      <w:tr w:rsidRPr="008C3D7F" w:rsidR="0030546E" w:rsidTr="63AE7852" w14:paraId="58D23499">
        <w:trPr>
          <w:trHeight w:val="142"/>
        </w:trPr>
        <w:tc>
          <w:tcPr>
            <w:tcW w:w="3227" w:type="dxa"/>
          </w:tcPr>
          <w:p w:rsidRPr="008C3D7F" w:rsidR="0030546E" w:rsidP="00A15C52" w:rsidRDefault="0030546E" w14:paraId="21EBFE38">
            <w:pPr>
              <w:rPr>
                <w:b/>
              </w:rPr>
            </w:pPr>
            <w:r w:rsidRPr="008C3D7F">
              <w:rPr>
                <w:b/>
              </w:rPr>
              <w:t>Paragraphe</w:t>
            </w:r>
          </w:p>
        </w:tc>
        <w:tc>
          <w:tcPr>
            <w:tcW w:w="6551" w:type="dxa"/>
          </w:tcPr>
          <w:p w:rsidRPr="008C3D7F" w:rsidR="0030546E" w:rsidP="00A15C52" w:rsidRDefault="0030546E" w14:paraId="79C9296E">
            <w:r w:rsidRPr="00A330BA">
              <w:t>2.3 Approche comportementale</w:t>
            </w:r>
          </w:p>
        </w:tc>
      </w:tr>
      <w:tr w:rsidRPr="008C3D7F" w:rsidR="008C3D7F" w:rsidTr="63AE7852" w14:paraId="44FA83F8">
        <w:trPr>
          <w:trHeight w:val="142"/>
        </w:trPr>
        <w:tc>
          <w:tcPr>
            <w:tcW w:w="3227" w:type="dxa"/>
          </w:tcPr>
          <w:p w:rsidRPr="008C3D7F" w:rsidR="008C3D7F" w:rsidP="00A15C52" w:rsidRDefault="008C3D7F" w14:paraId="34E4197F">
            <w:pPr>
              <w:rPr>
                <w:b/>
              </w:rPr>
            </w:pPr>
            <w:r w:rsidRPr="008C3D7F">
              <w:rPr>
                <w:b/>
              </w:rPr>
              <w:t>Sous paragraphe</w:t>
            </w:r>
          </w:p>
        </w:tc>
        <w:tc>
          <w:tcPr>
            <w:tcW w:w="6551" w:type="dxa"/>
          </w:tcPr>
          <w:p w:rsidRPr="008C3D7F" w:rsidR="008C3D7F" w:rsidP="00A15C52" w:rsidRDefault="0030546E" w14:paraId="6B6D55AD">
            <w:r w:rsidRPr="00711E95">
              <w:t>2.3.5 Comportement énergétique des systèmes</w:t>
            </w:r>
          </w:p>
        </w:tc>
      </w:tr>
      <w:tr w:rsidRPr="008C3D7F" w:rsidR="008C3D7F" w:rsidTr="63AE7852" w14:paraId="1829D7B3">
        <w:trPr>
          <w:trHeight w:val="142"/>
        </w:trPr>
        <w:tc>
          <w:tcPr>
            <w:tcW w:w="3227" w:type="dxa"/>
          </w:tcPr>
          <w:p w:rsidRPr="008C3D7F" w:rsidR="008C3D7F" w:rsidP="00A15C52" w:rsidRDefault="008C3D7F" w14:paraId="0EE2149B">
            <w:pPr>
              <w:rPr>
                <w:b/>
              </w:rPr>
            </w:pPr>
            <w:r w:rsidRPr="008C3D7F">
              <w:rPr>
                <w:b/>
              </w:rPr>
              <w:t>Connaissance</w:t>
            </w:r>
            <w:r w:rsidR="00AB3B32">
              <w:rPr>
                <w:b/>
              </w:rPr>
              <w:t>s</w:t>
            </w:r>
          </w:p>
        </w:tc>
        <w:tc>
          <w:tcPr>
            <w:tcW w:w="6551" w:type="dxa"/>
          </w:tcPr>
          <w:p w:rsidRPr="008C3D7F" w:rsidR="008C3D7F" w:rsidP="00A15C52" w:rsidRDefault="00EA0633" w14:paraId="1F8F5A9A">
            <w:r w:rsidRPr="00EA0633">
              <w:t>Analyse des pertes de charges fluidiques, caractéristiques des composants</w:t>
            </w:r>
          </w:p>
        </w:tc>
      </w:tr>
      <w:tr w:rsidRPr="008C3D7F" w:rsidR="008C3D7F" w:rsidTr="63AE7852" w14:paraId="3DF07531">
        <w:trPr>
          <w:trHeight w:val="142"/>
        </w:trPr>
        <w:tc>
          <w:tcPr>
            <w:tcW w:w="3227" w:type="dxa"/>
          </w:tcPr>
          <w:p w:rsidRPr="008C3D7F" w:rsidR="008C3D7F" w:rsidP="00A15C52" w:rsidRDefault="008C3D7F" w14:paraId="5DFDA3F1">
            <w:pPr>
              <w:rPr>
                <w:b/>
              </w:rPr>
            </w:pPr>
            <w:r w:rsidRPr="008C3D7F">
              <w:rPr>
                <w:b/>
              </w:rPr>
              <w:t>Niveau d’enseignement</w:t>
            </w:r>
          </w:p>
        </w:tc>
        <w:tc>
          <w:tcPr>
            <w:tcW w:w="6551" w:type="dxa"/>
          </w:tcPr>
          <w:p w:rsidRPr="008C3D7F" w:rsidR="008C3D7F" w:rsidP="00A15C52" w:rsidRDefault="005F6D16" w14:paraId="08D0865B">
            <w:r>
              <w:t>Terminale</w:t>
            </w:r>
          </w:p>
        </w:tc>
      </w:tr>
      <w:tr w:rsidRPr="008C3D7F" w:rsidR="008C3D7F" w:rsidTr="63AE7852" w14:paraId="13D41D3A">
        <w:trPr>
          <w:trHeight w:val="142"/>
        </w:trPr>
        <w:tc>
          <w:tcPr>
            <w:tcW w:w="3227" w:type="dxa"/>
          </w:tcPr>
          <w:p w:rsidRPr="008C3D7F" w:rsidR="008C3D7F" w:rsidP="00A15C52" w:rsidRDefault="008C3D7F" w14:paraId="2F31CA38">
            <w:pPr>
              <w:rPr>
                <w:b/>
              </w:rPr>
            </w:pPr>
            <w:r w:rsidRPr="008C3D7F">
              <w:rPr>
                <w:b/>
              </w:rPr>
              <w:t>Niveau taxonomique</w:t>
            </w:r>
          </w:p>
        </w:tc>
        <w:tc>
          <w:tcPr>
            <w:tcW w:w="6551" w:type="dxa"/>
          </w:tcPr>
          <w:p w:rsidRPr="008C3D7F" w:rsidR="008C3D7F" w:rsidP="00A15C52" w:rsidRDefault="005F6D16" w14:paraId="7DFA63C2">
            <w:r w:rsidRPr="007F7F53">
              <w:rPr>
                <w:b/>
              </w:rPr>
              <w:t>3</w:t>
            </w:r>
            <w:r w:rsidRPr="007F7F53" w:rsidR="00DD2F7D">
              <w:rPr>
                <w:b/>
              </w:rPr>
              <w:t>.</w:t>
            </w:r>
            <w:r w:rsidR="007F7F53">
              <w:t> </w:t>
            </w:r>
            <w:r w:rsidRPr="00DD2F7D" w:rsidR="00DD2F7D">
              <w:t xml:space="preserve">Le contenu est relatif à la </w:t>
            </w:r>
            <w:r w:rsidRPr="00DD2F7D" w:rsidR="00DD2F7D">
              <w:rPr>
                <w:b/>
              </w:rPr>
              <w:t>maîtrise d’outils d’étude ou d’action</w:t>
            </w:r>
            <w:r w:rsidRPr="00DD2F7D" w:rsidR="00DD2F7D">
              <w:t xml:space="preserve"> : utiliser, manipuler des règles ou des ensembles de règles (algorithme), des principes, des démarches formalisées en vue d’un résultat à atteindre.</w:t>
            </w:r>
          </w:p>
        </w:tc>
      </w:tr>
      <w:tr w:rsidRPr="008C3D7F" w:rsidR="008C3D7F" w:rsidTr="63AE7852" w14:paraId="02F7E0C7">
        <w:trPr>
          <w:trHeight w:val="142"/>
        </w:trPr>
        <w:tc>
          <w:tcPr>
            <w:tcW w:w="3227" w:type="dxa"/>
          </w:tcPr>
          <w:p w:rsidRPr="008C3D7F" w:rsidR="008C3D7F" w:rsidP="00A15C52" w:rsidRDefault="008C3D7F" w14:paraId="0181A4E0">
            <w:pPr>
              <w:rPr>
                <w:b/>
              </w:rPr>
            </w:pPr>
            <w:r w:rsidRPr="008C3D7F">
              <w:rPr>
                <w:b/>
              </w:rPr>
              <w:t>Commentaire</w:t>
            </w:r>
          </w:p>
        </w:tc>
        <w:tc>
          <w:tcPr>
            <w:tcW w:w="6551" w:type="dxa"/>
          </w:tcPr>
          <w:p w:rsidRPr="0088737E" w:rsidR="00EA0633" w:rsidP="00EA0633" w:rsidRDefault="00EA0633" w14:paraId="1D7F252F">
            <w:pPr>
              <w:rPr>
                <w:i/>
              </w:rPr>
            </w:pPr>
            <w:r w:rsidRPr="0088737E">
              <w:rPr>
                <w:i/>
              </w:rPr>
              <w:t>L’analyse de systèmes simples doit permettre de montrer l’analogie entre les éléments mécaniques, électriques, hydrauliques.</w:t>
            </w:r>
          </w:p>
          <w:p w:rsidRPr="0088737E" w:rsidR="00EA0633" w:rsidP="00EA0633" w:rsidRDefault="00EA0633" w14:paraId="75180099">
            <w:pPr>
              <w:rPr>
                <w:i/>
              </w:rPr>
            </w:pPr>
            <w:r w:rsidRPr="0088737E">
              <w:rPr>
                <w:i/>
              </w:rPr>
              <w:t>On privilégie l’emploi de formulaires pour la détermination des pertes de charges des réseaux fluidiques.</w:t>
            </w:r>
          </w:p>
          <w:p w:rsidRPr="005F6D16" w:rsidR="008C3D7F" w:rsidP="00EA0633" w:rsidRDefault="00EA0633" w14:paraId="4A7E3B01">
            <w:pPr>
              <w:rPr>
                <w:i/>
              </w:rPr>
            </w:pPr>
            <w:r w:rsidRPr="0088737E">
              <w:rPr>
                <w:i/>
              </w:rPr>
              <w:t>Activités pratiques sur maquettes instrumentées permettant de caractériser les paramètres influents du fonctionnement de différentes chaînes d’énergies et d’optimiser les échanges d’énergie entre une source et une charge. On s’attache à la caractéristique des charges en lien avec un modèle de comportement. Les modèles de comportement sont étudiés autour d’un point de fonctionnement.</w:t>
            </w:r>
          </w:p>
        </w:tc>
      </w:tr>
      <w:tr w:rsidRPr="008C3D7F" w:rsidR="008C3D7F" w:rsidTr="63AE7852" w14:paraId="1DA393DE">
        <w:trPr>
          <w:trHeight w:val="142"/>
        </w:trPr>
        <w:tc>
          <w:tcPr>
            <w:tcW w:w="3227" w:type="dxa"/>
          </w:tcPr>
          <w:p w:rsidRPr="008C3D7F" w:rsidR="008C3D7F" w:rsidP="00A15C52" w:rsidRDefault="008C3D7F" w14:paraId="53BF1566">
            <w:pPr>
              <w:rPr>
                <w:b/>
              </w:rPr>
            </w:pPr>
            <w:r>
              <w:rPr>
                <w:b/>
              </w:rPr>
              <w:t>Liens</w:t>
            </w:r>
          </w:p>
        </w:tc>
        <w:tc>
          <w:tcPr>
            <w:tcW w:w="6551" w:type="dxa"/>
          </w:tcPr>
          <w:p w:rsidRPr="008C3D7F" w:rsidR="008C3D7F" w:rsidP="00A15C52" w:rsidRDefault="008C3D7F" w14:paraId="055D78E7"/>
        </w:tc>
      </w:tr>
    </w:tbl>
    <w:p w:rsidR="00D64037" w:rsidP="009B3F71" w:rsidRDefault="00A15C52" w14:paraId="58AC0144">
      <w:pPr>
        <w:pStyle w:val="Titre1"/>
      </w:pPr>
      <w:r>
        <w:t>Présentation du bilan énergétique d’un écoulement :</w:t>
      </w:r>
    </w:p>
    <w:p w:rsidRPr="00774D25" w:rsidR="00A15C52" w:rsidP="008C3D7F" w:rsidRDefault="00774D25" w14:paraId="1E057622">
      <w:pPr>
        <w:rPr>
          <w:i/>
          <w:color w:val="FF0000"/>
        </w:rPr>
      </w:pPr>
      <w:r w:rsidRPr="00774D25">
        <w:rPr>
          <w:i/>
          <w:color w:val="FF0000"/>
        </w:rPr>
        <w:t>(Unités</w:t>
      </w:r>
      <w:r>
        <w:rPr>
          <w:i/>
          <w:color w:val="FF0000"/>
        </w:rPr>
        <w:t>, équations aux dimensions</w:t>
      </w:r>
      <w:r w:rsidRPr="00774D25">
        <w:rPr>
          <w:i/>
          <w:color w:val="FF0000"/>
        </w:rPr>
        <w:t> : voir sciences physique)</w:t>
      </w:r>
    </w:p>
    <w:p w:rsidR="00774D25" w:rsidP="009B3F71" w:rsidRDefault="00774D25" w14:paraId="024E887B">
      <w:pPr>
        <w:pStyle w:val="Titre2"/>
      </w:pPr>
      <w:r>
        <w:t>N</w:t>
      </w:r>
      <w:r w:rsidR="00A15C52">
        <w:t xml:space="preserve">otion de débit </w:t>
      </w:r>
      <w:r w:rsidR="0012582E">
        <w:t>« moyen » de</w:t>
      </w:r>
      <w:r w:rsidR="00A15C52">
        <w:t xml:space="preserve"> fluide</w:t>
      </w:r>
      <w:r w:rsidR="0012582E">
        <w:t> :</w:t>
      </w:r>
    </w:p>
    <w:p w:rsidR="00A15C52" w:rsidP="00A15C52" w:rsidRDefault="00A15C52" w14:paraId="48064969">
      <w:pPr>
        <w:pStyle w:val="Paragraphedeliste"/>
        <w:numPr>
          <w:ilvl w:val="1"/>
          <w:numId w:val="2"/>
        </w:numPr>
      </w:pPr>
      <w:r>
        <w:t xml:space="preserve">massique </w:t>
      </w:r>
      <w:proofErr w:type="spellStart"/>
      <w:r>
        <w:t>q</w:t>
      </w:r>
      <w:r>
        <w:rPr>
          <w:vertAlign w:val="subscript"/>
        </w:rPr>
        <w:t>m</w:t>
      </w:r>
      <w:proofErr w:type="spellEnd"/>
      <w:r>
        <w:t xml:space="preserve"> en kg/s</w:t>
      </w:r>
    </w:p>
    <w:p w:rsidR="00A15C52" w:rsidP="00A15C52" w:rsidRDefault="00A15C52" w14:paraId="5BB02D08">
      <w:pPr>
        <w:pStyle w:val="Paragraphedeliste"/>
        <w:numPr>
          <w:ilvl w:val="1"/>
          <w:numId w:val="2"/>
        </w:numPr>
      </w:pPr>
      <w:r>
        <w:t xml:space="preserve">volumique </w:t>
      </w:r>
      <w:proofErr w:type="spellStart"/>
      <w:r>
        <w:t>q</w:t>
      </w:r>
      <w:r>
        <w:rPr>
          <w:vertAlign w:val="subscript"/>
        </w:rPr>
        <w:t>v</w:t>
      </w:r>
      <w:proofErr w:type="spellEnd"/>
      <w:r>
        <w:t xml:space="preserve"> en m</w:t>
      </w:r>
      <w:r>
        <w:rPr>
          <w:vertAlign w:val="superscript"/>
        </w:rPr>
        <w:t>3</w:t>
      </w:r>
      <w:r>
        <w:t>/s et m</w:t>
      </w:r>
      <w:r>
        <w:rPr>
          <w:vertAlign w:val="superscript"/>
        </w:rPr>
        <w:t>3</w:t>
      </w:r>
      <w:r w:rsidRPr="00A15C52">
        <w:t>/h,</w:t>
      </w:r>
      <w:r>
        <w:t xml:space="preserve"> </w:t>
      </w:r>
    </w:p>
    <w:p w:rsidR="00A15C52" w:rsidP="00A15C52" w:rsidRDefault="00A15C52" w14:paraId="68E773C4">
      <w:pPr>
        <w:pStyle w:val="Paragraphedeliste"/>
        <w:numPr>
          <w:ilvl w:val="1"/>
          <w:numId w:val="2"/>
        </w:numPr>
      </w:pPr>
      <w:r w:rsidRPr="00A15C52">
        <w:t>conversion</w:t>
      </w:r>
      <w:r>
        <w:t xml:space="preserve"> de débit massique en débit volumique : </w:t>
      </w:r>
      <w:proofErr w:type="spellStart"/>
      <w:r>
        <w:t>q</w:t>
      </w:r>
      <w:r>
        <w:rPr>
          <w:vertAlign w:val="subscript"/>
        </w:rPr>
        <w:t>m</w:t>
      </w:r>
      <w:proofErr w:type="spellEnd"/>
      <w:r>
        <w:t>=</w:t>
      </w:r>
      <w:proofErr w:type="spellStart"/>
      <w:r>
        <w:rPr>
          <w:rFonts w:cs="Arial"/>
        </w:rPr>
        <w:t>ρ</w:t>
      </w:r>
      <w:r>
        <w:t>.q</w:t>
      </w:r>
      <w:r>
        <w:rPr>
          <w:vertAlign w:val="subscript"/>
        </w:rPr>
        <w:t>v</w:t>
      </w:r>
      <w:proofErr w:type="spellEnd"/>
    </w:p>
    <w:p w:rsidR="00A15C52" w:rsidP="009B3F71" w:rsidRDefault="00774D25" w14:paraId="2E35C336">
      <w:pPr>
        <w:pStyle w:val="Titre2"/>
      </w:pPr>
      <w:r>
        <w:t>Équations</w:t>
      </w:r>
      <w:r w:rsidR="0012582E">
        <w:t xml:space="preserve"> aux dimensions de :</w:t>
      </w:r>
    </w:p>
    <w:p w:rsidR="00A15C52" w:rsidP="00A15C52" w:rsidRDefault="00A15C52" w14:paraId="32C0221C">
      <w:pPr>
        <w:pStyle w:val="Paragraphedeliste"/>
        <w:numPr>
          <w:ilvl w:val="1"/>
          <w:numId w:val="2"/>
        </w:numPr>
      </w:pPr>
      <w:r>
        <w:t>la Joule (1J=</w:t>
      </w:r>
      <w:proofErr w:type="spellStart"/>
      <w:r>
        <w:t>1kg.m</w:t>
      </w:r>
      <w:r>
        <w:rPr>
          <w:vertAlign w:val="superscript"/>
        </w:rPr>
        <w:t>2</w:t>
      </w:r>
      <w:proofErr w:type="spellEnd"/>
      <w:r>
        <w:t>.s</w:t>
      </w:r>
      <w:r>
        <w:rPr>
          <w:vertAlign w:val="superscript"/>
        </w:rPr>
        <w:t>-2</w:t>
      </w:r>
      <w:r>
        <w:t xml:space="preserve">) </w:t>
      </w:r>
    </w:p>
    <w:p w:rsidR="00A15C52" w:rsidP="00A15C52" w:rsidRDefault="00A15C52" w14:paraId="2C5E9D95">
      <w:pPr>
        <w:pStyle w:val="Paragraphedeliste"/>
        <w:numPr>
          <w:ilvl w:val="1"/>
          <w:numId w:val="2"/>
        </w:numPr>
      </w:pPr>
      <w:r>
        <w:t>du Pascal (1Pa = 1kg.m</w:t>
      </w:r>
      <w:r>
        <w:rPr>
          <w:vertAlign w:val="superscript"/>
        </w:rPr>
        <w:t>-1</w:t>
      </w:r>
      <w:r>
        <w:t>s</w:t>
      </w:r>
      <w:r>
        <w:rPr>
          <w:vertAlign w:val="superscript"/>
        </w:rPr>
        <w:t>-2</w:t>
      </w:r>
      <w:r>
        <w:t xml:space="preserve">) </w:t>
      </w:r>
    </w:p>
    <w:p w:rsidR="00A15C52" w:rsidP="00A15C52" w:rsidRDefault="00774D25" w14:paraId="32FC4EAC">
      <w:pPr>
        <w:pStyle w:val="Paragraphedeliste"/>
      </w:pPr>
      <w:r>
        <w:t>R</w:t>
      </w:r>
      <w:r w:rsidR="00A15C52">
        <w:t>emarquer que 1Pa = 1J.m</w:t>
      </w:r>
      <w:r w:rsidR="00A15C52">
        <w:rPr>
          <w:vertAlign w:val="superscript"/>
        </w:rPr>
        <w:t>-3 </w:t>
      </w:r>
      <w:r w:rsidR="00A15C52">
        <w:t>: l’expression d’une pression dans un fluide correspond à une énergie volumique.</w:t>
      </w:r>
    </w:p>
    <w:p w:rsidR="00A15C52" w:rsidP="009B3F71" w:rsidRDefault="00774D25" w14:paraId="62956720">
      <w:pPr>
        <w:pStyle w:val="Titre2"/>
      </w:pPr>
      <w:r>
        <w:t>Différentes</w:t>
      </w:r>
      <w:r w:rsidR="00A15C52">
        <w:t xml:space="preserve"> énergies liées au transport de fluide</w:t>
      </w:r>
    </w:p>
    <w:p w:rsidR="00A15C52" w:rsidP="00A15C52" w:rsidRDefault="00A15C52" w14:paraId="6EE23D15">
      <w:pPr>
        <w:pStyle w:val="Paragraphedeliste"/>
        <w:numPr>
          <w:ilvl w:val="1"/>
          <w:numId w:val="2"/>
        </w:numPr>
      </w:pPr>
      <w:r>
        <w:t>Énergie potentielle de pression</w:t>
      </w:r>
      <w:r>
        <w:tab/>
      </w:r>
      <w:r>
        <w:tab/>
      </w:r>
      <w:r>
        <w:tab/>
      </w:r>
      <w:r>
        <w:t>p</w:t>
      </w:r>
    </w:p>
    <w:p w:rsidR="00A15C52" w:rsidP="00A15C52" w:rsidRDefault="00A15C52" w14:paraId="1F14C762">
      <w:pPr>
        <w:pStyle w:val="Paragraphedeliste"/>
        <w:numPr>
          <w:ilvl w:val="1"/>
          <w:numId w:val="2"/>
        </w:numPr>
      </w:pPr>
      <w:r>
        <w:t xml:space="preserve">Énergie potentielle de position </w:t>
      </w:r>
      <w:r>
        <w:tab/>
      </w:r>
      <w:r>
        <w:tab/>
      </w:r>
      <w:r>
        <w:tab/>
      </w:r>
      <w:proofErr w:type="spellStart"/>
      <w:r>
        <w:rPr>
          <w:rFonts w:cs="Arial"/>
        </w:rPr>
        <w:t>ρ</w:t>
      </w:r>
      <w:r>
        <w:t>.g.z</w:t>
      </w:r>
      <w:proofErr w:type="spellEnd"/>
      <w:r>
        <w:t xml:space="preserve"> (</w:t>
      </w:r>
      <w:proofErr w:type="spellStart"/>
      <w:r>
        <w:t>mgz</w:t>
      </w:r>
      <w:proofErr w:type="spellEnd"/>
      <w:r>
        <w:t>/V)</w:t>
      </w:r>
    </w:p>
    <w:p w:rsidR="00A15C52" w:rsidP="00A15C52" w:rsidRDefault="00A15C52" w14:paraId="6473898C">
      <w:pPr>
        <w:pStyle w:val="Paragraphedeliste"/>
        <w:numPr>
          <w:ilvl w:val="1"/>
          <w:numId w:val="2"/>
        </w:numPr>
      </w:pPr>
      <w:r>
        <w:t>Énergie cinétique, appelée dans le cas des fluides « pression dynamique »</w:t>
      </w:r>
    </w:p>
    <w:p w:rsidR="00A15C52" w:rsidP="00A15C52" w:rsidRDefault="00A15C52" w14:paraId="504939A1">
      <w:pPr>
        <w:pStyle w:val="Paragraphedeliste"/>
        <w:ind w:left="5760"/>
      </w:pPr>
      <w:r>
        <w:rPr>
          <w:rFonts w:cs="Arial"/>
        </w:rPr>
        <w:t>ρ</w:t>
      </w:r>
      <w:r>
        <w:t>w²/2 (mw²</w:t>
      </w:r>
      <w:proofErr w:type="gramStart"/>
      <w:r>
        <w:t>/(</w:t>
      </w:r>
      <w:proofErr w:type="gramEnd"/>
      <w:r>
        <w:t>2V))</w:t>
      </w:r>
    </w:p>
    <w:p w:rsidR="00A15C52" w:rsidP="00A15C52" w:rsidRDefault="00A15C52" w14:paraId="53D6EC6F">
      <w:pPr>
        <w:pStyle w:val="Paragraphedeliste"/>
      </w:pPr>
      <w:r>
        <w:t>Ces différentes énergies seront décrites en Pa (J/m</w:t>
      </w:r>
      <w:r>
        <w:rPr>
          <w:vertAlign w:val="superscript"/>
        </w:rPr>
        <w:t>3</w:t>
      </w:r>
      <w:r>
        <w:t>)</w:t>
      </w:r>
    </w:p>
    <w:p w:rsidR="0012582E" w:rsidP="009B3F71" w:rsidRDefault="00774D25" w14:paraId="74F98EC2">
      <w:pPr>
        <w:pStyle w:val="Titre2"/>
      </w:pPr>
      <w:r>
        <w:t>H</w:t>
      </w:r>
      <w:r w:rsidR="0012582E">
        <w:t>ypothèses d’étude :</w:t>
      </w:r>
    </w:p>
    <w:p w:rsidR="0012582E" w:rsidP="0012582E" w:rsidRDefault="0012582E" w14:paraId="3E02067D">
      <w:pPr>
        <w:pStyle w:val="Paragraphedeliste"/>
        <w:numPr>
          <w:ilvl w:val="1"/>
          <w:numId w:val="2"/>
        </w:numPr>
      </w:pPr>
      <w:r>
        <w:t>Régime permanent qui conduit à une équivalence temps – lieu : l</w:t>
      </w:r>
      <w:r w:rsidR="00145E8F">
        <w:t>e bilan entre 2 lieux au sein de l’</w:t>
      </w:r>
      <w:r>
        <w:t>écoulement à l’instant « t » est équivalent au bilan au cours du temps de l’écoulement.</w:t>
      </w:r>
    </w:p>
    <w:p w:rsidR="0012582E" w:rsidP="0012582E" w:rsidRDefault="0012582E" w14:paraId="70A868D6">
      <w:pPr>
        <w:pStyle w:val="Paragraphedeliste"/>
        <w:numPr>
          <w:ilvl w:val="1"/>
          <w:numId w:val="2"/>
        </w:numPr>
      </w:pPr>
      <w:r>
        <w:t>Fluide incompressible (pas de variation de volume sous l’effet de la pression)</w:t>
      </w:r>
    </w:p>
    <w:p w:rsidR="0012582E" w:rsidP="0012582E" w:rsidRDefault="0012582E" w14:paraId="272617CA">
      <w:pPr>
        <w:pStyle w:val="Paragraphedeliste"/>
        <w:numPr>
          <w:ilvl w:val="1"/>
          <w:numId w:val="2"/>
        </w:numPr>
      </w:pPr>
      <w:r>
        <w:t>Fluides réels visqueux</w:t>
      </w:r>
    </w:p>
    <w:p w:rsidR="0012582E" w:rsidP="0012582E" w:rsidRDefault="0012582E" w14:paraId="59C094EA">
      <w:pPr>
        <w:pStyle w:val="Paragraphedeliste"/>
        <w:numPr>
          <w:ilvl w:val="2"/>
          <w:numId w:val="2"/>
        </w:numPr>
      </w:pPr>
      <w:r>
        <w:t>Présenter les viscosités (</w:t>
      </w:r>
      <w:r w:rsidR="009B3F71">
        <w:rPr>
          <w:rFonts w:cs="Arial"/>
        </w:rPr>
        <w:t>μ </w:t>
      </w:r>
      <w:r w:rsidR="009B3F71">
        <w:t xml:space="preserve">: </w:t>
      </w:r>
      <w:r>
        <w:t xml:space="preserve">dynamique </w:t>
      </w:r>
      <w:r w:rsidR="009B3F71">
        <w:t>[</w:t>
      </w:r>
      <w:proofErr w:type="spellStart"/>
      <w:r w:rsidR="009B3F71">
        <w:t>Pa.s</w:t>
      </w:r>
      <w:proofErr w:type="spellEnd"/>
      <w:r w:rsidR="009B3F71">
        <w:t xml:space="preserve">] </w:t>
      </w:r>
      <w:r>
        <w:t xml:space="preserve">et / ou </w:t>
      </w:r>
      <w:r w:rsidR="009B3F71">
        <w:sym w:font="Symbol" w:char="F06E"/>
      </w:r>
      <w:r w:rsidR="009B3F71">
        <w:t xml:space="preserve"> : </w:t>
      </w:r>
      <w:r>
        <w:t>cinématique</w:t>
      </w:r>
      <w:r w:rsidR="009B3F71">
        <w:t xml:space="preserve"> [m².s</w:t>
      </w:r>
      <w:r w:rsidR="009B3F71">
        <w:rPr>
          <w:vertAlign w:val="superscript"/>
        </w:rPr>
        <w:t>-1</w:t>
      </w:r>
      <w:r w:rsidR="009B3F71">
        <w:t>]</w:t>
      </w:r>
      <w:r>
        <w:t>) uniquement sous forme de valeurs et observer la diminution de leur valeur en fonction de la température : un fluide « chaud » s’écoulera mieux</w:t>
      </w:r>
    </w:p>
    <w:p w:rsidR="009B3F71" w:rsidP="0012582E" w:rsidRDefault="009B3F71" w14:paraId="686304CC">
      <w:pPr>
        <w:pStyle w:val="Paragraphedeliste"/>
        <w:numPr>
          <w:ilvl w:val="2"/>
          <w:numId w:val="2"/>
        </w:numPr>
      </w:pPr>
      <w:r>
        <w:t>Comparer plusieurs fluides sous l’angle de la viscosité (eau / huile/ fuel…)</w:t>
      </w:r>
    </w:p>
    <w:p w:rsidR="0012582E" w:rsidP="00145E8F" w:rsidRDefault="00145E8F" w14:paraId="6B9925B1">
      <w:pPr>
        <w:pStyle w:val="Paragraphedeliste"/>
        <w:numPr>
          <w:ilvl w:val="1"/>
          <w:numId w:val="2"/>
        </w:numPr>
      </w:pPr>
      <w:r>
        <w:t>Tuyaux réels rugueux :</w:t>
      </w:r>
      <w:r w:rsidR="0012582E">
        <w:tab/>
      </w:r>
    </w:p>
    <w:p w:rsidRPr="00145E8F" w:rsidR="00145E8F" w:rsidP="00145E8F" w:rsidRDefault="00145E8F" w14:paraId="543CB3D4">
      <w:pPr>
        <w:pStyle w:val="Paragraphedeliste"/>
        <w:numPr>
          <w:ilvl w:val="2"/>
          <w:numId w:val="2"/>
        </w:numPr>
      </w:pPr>
      <w:r>
        <w:lastRenderedPageBreak/>
        <w:t xml:space="preserve">Présenter la rugosité absolue </w:t>
      </w:r>
      <w:r>
        <w:rPr>
          <w:rFonts w:cs="Arial"/>
        </w:rPr>
        <w:t>ε et donner quelques ordres de grandeurs</w:t>
      </w:r>
      <w:r w:rsidR="009B3F71">
        <w:rPr>
          <w:rFonts w:cs="Arial"/>
        </w:rPr>
        <w:t xml:space="preserve"> suivant les matériaux.</w:t>
      </w:r>
    </w:p>
    <w:p w:rsidRPr="00145E8F" w:rsidR="00145E8F" w:rsidP="00145E8F" w:rsidRDefault="00145E8F" w14:paraId="744B9474">
      <w:pPr>
        <w:pStyle w:val="Paragraphedeliste"/>
        <w:numPr>
          <w:ilvl w:val="2"/>
          <w:numId w:val="2"/>
        </w:numPr>
      </w:pPr>
      <w:r>
        <w:rPr>
          <w:rFonts w:cs="Arial"/>
        </w:rPr>
        <w:t>Ou présenter la rugosité relative au diamètre ε/D</w:t>
      </w:r>
    </w:p>
    <w:p w:rsidR="00145E8F" w:rsidP="00145E8F" w:rsidRDefault="00145E8F" w14:paraId="10AB02DC">
      <w:pPr>
        <w:pStyle w:val="Paragraphedeliste"/>
        <w:numPr>
          <w:ilvl w:val="2"/>
          <w:numId w:val="2"/>
        </w:numPr>
      </w:pPr>
      <w:r>
        <w:rPr>
          <w:rFonts w:cs="Arial"/>
        </w:rPr>
        <w:t>Comparer les matériaux en fonction de ce paramètre</w:t>
      </w:r>
      <w:r w:rsidR="009B3F71">
        <w:rPr>
          <w:rFonts w:cs="Arial"/>
        </w:rPr>
        <w:t xml:space="preserve"> (qualité, vieillissement </w:t>
      </w:r>
      <w:proofErr w:type="spellStart"/>
      <w:r w:rsidR="009B3F71">
        <w:rPr>
          <w:rFonts w:cs="Arial"/>
        </w:rPr>
        <w:t>etc</w:t>
      </w:r>
      <w:proofErr w:type="spellEnd"/>
      <w:r w:rsidR="009B3F71">
        <w:rPr>
          <w:rFonts w:cs="Arial"/>
        </w:rPr>
        <w:t>…)</w:t>
      </w:r>
    </w:p>
    <w:p w:rsidR="00A15C52" w:rsidP="009B3F71" w:rsidRDefault="00774D25" w14:paraId="6D61A3FC">
      <w:pPr>
        <w:pStyle w:val="Titre2"/>
      </w:pPr>
      <w:r>
        <w:t>P</w:t>
      </w:r>
      <w:r w:rsidR="00A15C52">
        <w:t xml:space="preserve">rincipes de conservation </w:t>
      </w:r>
    </w:p>
    <w:p w:rsidR="00A15C52" w:rsidP="006315A0" w:rsidRDefault="00A15C52" w14:paraId="26A79574">
      <w:pPr>
        <w:pStyle w:val="Paragraphedeliste"/>
        <w:numPr>
          <w:ilvl w:val="0"/>
          <w:numId w:val="2"/>
        </w:numPr>
      </w:pPr>
      <w:r>
        <w:t xml:space="preserve">de la masse : au cours du déplacement, la masse est conservée </w:t>
      </w:r>
    </w:p>
    <w:p w:rsidR="00A15C52" w:rsidP="00A15C52" w:rsidRDefault="00A15C52" w14:paraId="4E434632">
      <w:pPr>
        <w:pStyle w:val="Paragraphedeliste"/>
        <w:ind w:left="1440"/>
      </w:pPr>
      <w:r>
        <w:t xml:space="preserve">=&gt; </w:t>
      </w:r>
      <w:r w:rsidR="0012582E">
        <w:t>le débit massique est conservé dans un écoulement, le débit volumique est conservé pour les liquides</w:t>
      </w:r>
    </w:p>
    <w:p w:rsidR="009B3F71" w:rsidP="009B3F71" w:rsidRDefault="0012582E" w14:paraId="06772354">
      <w:pPr>
        <w:pStyle w:val="Paragraphedeliste"/>
        <w:ind w:left="1440"/>
      </w:pPr>
      <w:r>
        <w:t>=&gt; la vitesse</w:t>
      </w:r>
      <w:r w:rsidR="009B3F71">
        <w:t xml:space="preserve"> des liquides</w:t>
      </w:r>
      <w:r>
        <w:t xml:space="preserve"> est conservée lorsque le diamètre de canalisation ne varie pas</w:t>
      </w:r>
      <w:r w:rsidR="009B3F71">
        <w:t>.</w:t>
      </w:r>
    </w:p>
    <w:p w:rsidR="0012582E" w:rsidP="009B3F71" w:rsidRDefault="0012582E" w14:paraId="1FA3AD3F"/>
    <w:p w:rsidR="0012582E" w:rsidP="006315A0" w:rsidRDefault="00A15C52" w14:paraId="62FB3440">
      <w:pPr>
        <w:pStyle w:val="Paragraphedeliste"/>
        <w:numPr>
          <w:ilvl w:val="0"/>
          <w:numId w:val="2"/>
        </w:numPr>
      </w:pPr>
      <w:r>
        <w:t>de l’énergie</w:t>
      </w:r>
      <w:r w:rsidR="0012582E">
        <w:t xml:space="preserve"> : l’énergie de départ et d’arrivée sont égales : </w:t>
      </w:r>
    </w:p>
    <w:p w:rsidRPr="0012582E" w:rsidR="00A15C52" w:rsidP="006315A0" w:rsidRDefault="0012582E" w14:paraId="05131F33">
      <w:pPr>
        <w:pStyle w:val="Paragraphedeliste"/>
        <w:numPr>
          <w:ilvl w:val="1"/>
          <w:numId w:val="2"/>
        </w:numPr>
      </w:pPr>
      <w:r>
        <w:t>la « charge » d’un fluide est conservée en  l’absence de pertes : X</w:t>
      </w:r>
      <w:r>
        <w:rPr>
          <w:vertAlign w:val="subscript"/>
        </w:rPr>
        <w:t>1</w:t>
      </w:r>
      <w:r>
        <w:t>=X</w:t>
      </w:r>
      <w:r>
        <w:rPr>
          <w:vertAlign w:val="subscript"/>
        </w:rPr>
        <w:t>2</w:t>
      </w:r>
      <w:r>
        <w:t xml:space="preserve"> [Pa]</w:t>
      </w:r>
      <w:r w:rsidR="00C80D41">
        <w:t xml:space="preserve"> (théorème de Bernoulli)</w:t>
      </w:r>
    </w:p>
    <w:p w:rsidR="0012582E" w:rsidP="006315A0" w:rsidRDefault="0012582E" w14:paraId="1C8E8551">
      <w:pPr>
        <w:pStyle w:val="Paragraphedeliste"/>
        <w:numPr>
          <w:ilvl w:val="1"/>
          <w:numId w:val="2"/>
        </w:numPr>
      </w:pPr>
      <w:r>
        <w:t>Variation de charge en présence de pertes : X</w:t>
      </w:r>
      <w:r>
        <w:rPr>
          <w:vertAlign w:val="subscript"/>
        </w:rPr>
        <w:t>1</w:t>
      </w:r>
      <w:r>
        <w:t>=X</w:t>
      </w:r>
      <w:r>
        <w:rPr>
          <w:vertAlign w:val="subscript"/>
        </w:rPr>
        <w:t>2</w:t>
      </w:r>
      <w:r w:rsidR="00C80D41">
        <w:t xml:space="preserve"> +Z [Pa] (Z : pertes de charge, Théorème de Bernoulli généralisé)</w:t>
      </w:r>
    </w:p>
    <w:p w:rsidR="00C80D41" w:rsidP="006315A0" w:rsidRDefault="00C80D41" w14:paraId="211D282A">
      <w:pPr>
        <w:pStyle w:val="Paragraphedeliste"/>
        <w:numPr>
          <w:ilvl w:val="1"/>
          <w:numId w:val="2"/>
        </w:numPr>
      </w:pPr>
      <w:r>
        <w:t>On remarquera que les pertes de charge se feront au détriment de la pression statique dans une canalisation.</w:t>
      </w:r>
    </w:p>
    <w:p w:rsidRPr="0012582E" w:rsidR="009B3F71" w:rsidP="009B3F71" w:rsidRDefault="00C80D41" w14:paraId="26F50DD6">
      <w:pPr>
        <w:pStyle w:val="Paragraphedeliste"/>
        <w:numPr>
          <w:ilvl w:val="1"/>
          <w:numId w:val="2"/>
        </w:numPr>
      </w:pPr>
      <w:r>
        <w:t>Exemples à aborder : vidange de réservoir, étude d’une conduite forcée de turbine de type Pelton ou autre.</w:t>
      </w:r>
    </w:p>
    <w:p w:rsidR="0012582E" w:rsidP="00C80D41" w:rsidRDefault="009B3F71" w14:paraId="32959104">
      <w:pPr>
        <w:pStyle w:val="Titre2"/>
      </w:pPr>
      <w:r>
        <w:t>Étude détaillée des pertes de charge :</w:t>
      </w:r>
      <w:r w:rsidR="00ED5B71">
        <w:t xml:space="preserve"> (uniquement pour l’eau et l’air)</w:t>
      </w:r>
    </w:p>
    <w:p w:rsidR="006315A0" w:rsidP="006315A0" w:rsidRDefault="006315A0" w14:paraId="23670C44"/>
    <w:p w:rsidR="006315A0" w:rsidP="006315A0" w:rsidRDefault="009B3F71" w14:paraId="3C79AAAA">
      <w:pPr>
        <w:pStyle w:val="Paragraphedeliste"/>
        <w:numPr>
          <w:ilvl w:val="1"/>
          <w:numId w:val="2"/>
        </w:numPr>
      </w:pPr>
      <w:r>
        <w:t>Linéique</w:t>
      </w:r>
      <w:r w:rsidR="006315A0">
        <w:t>s ou linéaires</w:t>
      </w:r>
      <w:r>
        <w:t xml:space="preserve"> : </w:t>
      </w:r>
    </w:p>
    <w:p w:rsidR="009B3F71" w:rsidP="006315A0" w:rsidRDefault="009B3F71" w14:paraId="25FAA0D6">
      <w:pPr>
        <w:pStyle w:val="Paragraphedeliste"/>
        <w:numPr>
          <w:ilvl w:val="2"/>
          <w:numId w:val="2"/>
        </w:numPr>
      </w:pPr>
      <w:r>
        <w:t>on abordera uniquement les pertes de charge linéaires à travers le coefficient « j » de perte de charge</w:t>
      </w:r>
      <w:r w:rsidR="006315A0">
        <w:t xml:space="preserve"> en Pa/m.</w:t>
      </w:r>
    </w:p>
    <w:p w:rsidR="006315A0" w:rsidP="009B3F71" w:rsidRDefault="006315A0" w14:paraId="71599763">
      <w:pPr>
        <w:pStyle w:val="Paragraphedeliste"/>
        <w:numPr>
          <w:ilvl w:val="2"/>
          <w:numId w:val="2"/>
        </w:numPr>
      </w:pPr>
      <w:r>
        <w:t>les élèves liront le coefficient « j » dans des abaques en fonction du débit et du diamètre de canalisation, ou bien à l’aide de logiciels de calculs automatiques de coefficients « j »</w:t>
      </w:r>
    </w:p>
    <w:p w:rsidR="006315A0" w:rsidP="009B3F71" w:rsidRDefault="006315A0" w14:paraId="0B305315">
      <w:pPr>
        <w:pStyle w:val="Paragraphedeliste"/>
        <w:numPr>
          <w:ilvl w:val="2"/>
          <w:numId w:val="2"/>
        </w:numPr>
      </w:pPr>
      <w:r>
        <w:t xml:space="preserve">on privilégiera la lecture des coefficients dans les unités SI (on évitera les unités telles que </w:t>
      </w:r>
      <w:proofErr w:type="spellStart"/>
      <w:r>
        <w:t>mmCE</w:t>
      </w:r>
      <w:proofErr w:type="spellEnd"/>
      <w:r>
        <w:t>/m)</w:t>
      </w:r>
    </w:p>
    <w:p w:rsidR="006315A0" w:rsidP="009B3F71" w:rsidRDefault="006315A0" w14:paraId="319F065C">
      <w:pPr>
        <w:pStyle w:val="Paragraphedeliste"/>
        <w:numPr>
          <w:ilvl w:val="2"/>
          <w:numId w:val="2"/>
        </w:numPr>
      </w:pPr>
      <w:r>
        <w:t xml:space="preserve">on n’abordera pas le calcul du nombre de Reynolds ni la lecture du coefficient </w:t>
      </w:r>
      <w:r>
        <w:sym w:font="Symbol" w:char="F06C"/>
      </w:r>
      <w:r>
        <w:t xml:space="preserve"> sur l’abaque de Moody, ni le calcul du coefficient « j » à partir de ces valeurs</w:t>
      </w:r>
    </w:p>
    <w:p w:rsidR="006315A0" w:rsidP="009B3F71" w:rsidRDefault="006315A0" w14:paraId="55D437AE">
      <w:pPr>
        <w:pStyle w:val="Paragraphedeliste"/>
        <w:numPr>
          <w:ilvl w:val="2"/>
          <w:numId w:val="2"/>
        </w:numPr>
      </w:pPr>
      <w:r>
        <w:t>on observera cependant la variation de j sous l’influence de la pression dynamique, de la vitesse, de la rugosité, de la viscosité sur des simulations numériques ou tableurs déjà paramétrés. On remarquera notamment que la perte de charge est proportionnelle à la vitesse au carré (w²).</w:t>
      </w:r>
    </w:p>
    <w:p w:rsidR="006315A0" w:rsidP="006315A0" w:rsidRDefault="006315A0" w14:paraId="313EB619"/>
    <w:p w:rsidR="006315A0" w:rsidP="006315A0" w:rsidRDefault="006315A0" w14:paraId="404F8D22">
      <w:pPr>
        <w:pStyle w:val="Paragraphedeliste"/>
        <w:numPr>
          <w:ilvl w:val="1"/>
          <w:numId w:val="2"/>
        </w:numPr>
      </w:pPr>
      <w:r>
        <w:t>Singulières :</w:t>
      </w:r>
    </w:p>
    <w:p w:rsidRPr="00C80D41" w:rsidR="006315A0" w:rsidP="006315A0" w:rsidRDefault="006315A0" w14:paraId="5EE59C60">
      <w:pPr>
        <w:pStyle w:val="Paragraphedeliste"/>
        <w:numPr>
          <w:ilvl w:val="2"/>
          <w:numId w:val="2"/>
        </w:numPr>
      </w:pPr>
      <w:r>
        <w:t xml:space="preserve">On présentera des tableaux de lecture de coefficients </w:t>
      </w:r>
      <w:r>
        <w:rPr>
          <w:rFonts w:cs="Arial"/>
        </w:rPr>
        <w:t xml:space="preserve">ξ pour l’eau ou ζ pour l’air </w:t>
      </w:r>
      <w:r w:rsidR="00C80D41">
        <w:rPr>
          <w:rFonts w:cs="Arial"/>
        </w:rPr>
        <w:t>en fonction des accidents de parcours rencontrés</w:t>
      </w:r>
    </w:p>
    <w:p w:rsidRPr="00C80D41" w:rsidR="00C80D41" w:rsidP="006315A0" w:rsidRDefault="00C80D41" w14:paraId="1E84573A">
      <w:pPr>
        <w:pStyle w:val="Paragraphedeliste"/>
        <w:numPr>
          <w:ilvl w:val="2"/>
          <w:numId w:val="2"/>
        </w:numPr>
      </w:pPr>
      <w:r>
        <w:rPr>
          <w:rFonts w:cs="Arial"/>
        </w:rPr>
        <w:t xml:space="preserve">On </w:t>
      </w:r>
      <w:r w:rsidR="00ED5B71">
        <w:rPr>
          <w:rFonts w:cs="Arial"/>
        </w:rPr>
        <w:t>analysera</w:t>
      </w:r>
      <w:r>
        <w:rPr>
          <w:rFonts w:cs="Arial"/>
        </w:rPr>
        <w:t xml:space="preserve"> ces valeurs en fonction des singularités et on remarquera l’importance que représente la prise en compte </w:t>
      </w:r>
      <w:r w:rsidR="00ED5B71">
        <w:rPr>
          <w:rFonts w:cs="Arial"/>
        </w:rPr>
        <w:t xml:space="preserve">des vannes / robinets </w:t>
      </w:r>
      <w:r>
        <w:rPr>
          <w:rFonts w:cs="Arial"/>
        </w:rPr>
        <w:t>dans le calcul des pertes de charge.</w:t>
      </w:r>
    </w:p>
    <w:p w:rsidRPr="00C80D41" w:rsidR="00C80D41" w:rsidP="006315A0" w:rsidRDefault="00C80D41" w14:paraId="31386B3E">
      <w:pPr>
        <w:pStyle w:val="Paragraphedeliste"/>
        <w:numPr>
          <w:ilvl w:val="2"/>
          <w:numId w:val="2"/>
        </w:numPr>
      </w:pPr>
      <w:r>
        <w:rPr>
          <w:rFonts w:cs="Arial"/>
        </w:rPr>
        <w:t>On ne calculera les pertes de charge singulières que dans des cas simples et on s’aidera pour des calculs de projets de logiciels</w:t>
      </w:r>
      <w:r w:rsidR="00ED5B71">
        <w:rPr>
          <w:rFonts w:cs="Arial"/>
        </w:rPr>
        <w:t>,</w:t>
      </w:r>
      <w:r>
        <w:rPr>
          <w:rFonts w:cs="Arial"/>
        </w:rPr>
        <w:t xml:space="preserve"> de feuilles de calculs </w:t>
      </w:r>
      <w:proofErr w:type="spellStart"/>
      <w:r>
        <w:rPr>
          <w:rFonts w:cs="Arial"/>
        </w:rPr>
        <w:t>pré-établies</w:t>
      </w:r>
      <w:proofErr w:type="spellEnd"/>
      <w:r>
        <w:rPr>
          <w:rFonts w:cs="Arial"/>
        </w:rPr>
        <w:t xml:space="preserve"> ou d’abaques de lecture directe</w:t>
      </w:r>
      <w:r w:rsidR="00ED5B71">
        <w:rPr>
          <w:rFonts w:cs="Arial"/>
        </w:rPr>
        <w:t xml:space="preserve"> de Z en fonction du débit</w:t>
      </w:r>
      <w:r>
        <w:rPr>
          <w:rFonts w:cs="Arial"/>
        </w:rPr>
        <w:t>.</w:t>
      </w:r>
    </w:p>
    <w:p w:rsidRPr="00C80D41" w:rsidR="00C80D41" w:rsidP="006315A0" w:rsidRDefault="00C80D41" w14:paraId="49A838BF">
      <w:pPr>
        <w:pStyle w:val="Paragraphedeliste"/>
        <w:numPr>
          <w:ilvl w:val="2"/>
          <w:numId w:val="2"/>
        </w:numPr>
      </w:pPr>
      <w:r>
        <w:rPr>
          <w:rFonts w:cs="Arial"/>
        </w:rPr>
        <w:t>On n’abordera pas le calcul des coefficients à travers le théorème d’Euler (théorème des quantités de mouvement).</w:t>
      </w:r>
    </w:p>
    <w:p w:rsidR="00C80D41" w:rsidP="00ED5B71" w:rsidRDefault="00C80D41" w14:paraId="001E71D7">
      <w:pPr>
        <w:pStyle w:val="Titre2"/>
      </w:pPr>
      <w:r>
        <w:t>Compenser les pertes de charge en circuit fermé :</w:t>
      </w:r>
    </w:p>
    <w:p w:rsidR="006315A0" w:rsidP="006315A0" w:rsidRDefault="00C80D41" w14:paraId="0C7C3484">
      <w:pPr>
        <w:pStyle w:val="Paragraphedeliste"/>
        <w:numPr>
          <w:ilvl w:val="1"/>
          <w:numId w:val="2"/>
        </w:numPr>
      </w:pPr>
      <w:r>
        <w:t>À partir de schémas de principe simplifiés et / ou de plan d’installation</w:t>
      </w:r>
      <w:r w:rsidR="00B15610">
        <w:t xml:space="preserve"> et/ ou de schémas en </w:t>
      </w:r>
      <w:proofErr w:type="spellStart"/>
      <w:r w:rsidR="00B15610">
        <w:t>perpsepctive</w:t>
      </w:r>
      <w:proofErr w:type="spellEnd"/>
      <w:r>
        <w:t>, on abordera la notion de « circuit », on repèrera les différents « tronçons » pour lesquels on calculera les pertes de charge.</w:t>
      </w:r>
    </w:p>
    <w:p w:rsidR="00C80D41" w:rsidP="006315A0" w:rsidRDefault="00C80D41" w14:paraId="2CFB2B07">
      <w:pPr>
        <w:pStyle w:val="Paragraphedeliste"/>
        <w:numPr>
          <w:ilvl w:val="1"/>
          <w:numId w:val="2"/>
        </w:numPr>
      </w:pPr>
      <w:r>
        <w:t>En appliquant le théorème de Bernoulli aux bornes d</w:t>
      </w:r>
      <w:r w:rsidR="00ED5B71">
        <w:t>’</w:t>
      </w:r>
      <w:r>
        <w:t>u</w:t>
      </w:r>
      <w:r w:rsidR="00ED5B71">
        <w:t>n</w:t>
      </w:r>
      <w:r>
        <w:t xml:space="preserve"> circulateur, on mettra en évidence :</w:t>
      </w:r>
    </w:p>
    <w:p w:rsidR="00C80D41" w:rsidP="00C80D41" w:rsidRDefault="00C80D41" w14:paraId="2C98FD9C">
      <w:pPr>
        <w:pStyle w:val="Paragraphedeliste"/>
        <w:numPr>
          <w:ilvl w:val="2"/>
          <w:numId w:val="2"/>
        </w:numPr>
      </w:pPr>
      <w:proofErr w:type="spellStart"/>
      <w:r>
        <w:rPr>
          <w:rFonts w:cs="Arial"/>
        </w:rPr>
        <w:t>Δ</w:t>
      </w:r>
      <w:r>
        <w:t>p</w:t>
      </w:r>
      <w:r>
        <w:rPr>
          <w:vertAlign w:val="subscript"/>
        </w:rPr>
        <w:t>circulateur</w:t>
      </w:r>
      <w:proofErr w:type="spellEnd"/>
      <w:r>
        <w:t>=</w:t>
      </w:r>
      <w:proofErr w:type="spellStart"/>
      <w:r>
        <w:t>Z</w:t>
      </w:r>
      <w:r>
        <w:rPr>
          <w:vertAlign w:val="subscript"/>
        </w:rPr>
        <w:t>circuit</w:t>
      </w:r>
      <w:proofErr w:type="spellEnd"/>
      <w:r>
        <w:t>.</w:t>
      </w:r>
    </w:p>
    <w:p w:rsidR="00C80D41" w:rsidP="00C80D41" w:rsidRDefault="00B15610" w14:paraId="2B9CE3FC">
      <w:pPr>
        <w:pStyle w:val="Paragraphedeliste"/>
        <w:numPr>
          <w:ilvl w:val="2"/>
          <w:numId w:val="2"/>
        </w:numPr>
      </w:pPr>
      <w:r>
        <w:t>Que l</w:t>
      </w:r>
      <w:r w:rsidR="00C80D41">
        <w:t>e circulateur doit compenser la pression perdue au cours du transport</w:t>
      </w:r>
      <w:r w:rsidR="00ED5B71">
        <w:t>.</w:t>
      </w:r>
    </w:p>
    <w:p w:rsidR="00B15610" w:rsidP="00B15610" w:rsidRDefault="00B15610" w14:paraId="7048FC77">
      <w:pPr>
        <w:pStyle w:val="Paragraphedeliste"/>
        <w:numPr>
          <w:ilvl w:val="1"/>
          <w:numId w:val="2"/>
        </w:numPr>
      </w:pPr>
      <w:r>
        <w:t>On n’abordera le phénomène de cavitation que de manière qualitative, uniquement pour justifier de l’emplacement « bas » des circulateurs dans une installation de chauffage.</w:t>
      </w:r>
    </w:p>
    <w:p w:rsidR="00ED5B71" w:rsidP="00ED5B71" w:rsidRDefault="00ED5B71" w14:paraId="326C5070"/>
    <w:p w:rsidR="0012582E" w:rsidP="00ED5B71" w:rsidRDefault="00ED5B71" w14:paraId="2E11D4A6">
      <w:pPr>
        <w:pStyle w:val="Titre2"/>
      </w:pPr>
      <w:r>
        <w:lastRenderedPageBreak/>
        <w:t>Le cas des circuits ouverts :</w:t>
      </w:r>
    </w:p>
    <w:p w:rsidR="00ED5B71" w:rsidP="00ED5B71" w:rsidRDefault="00ED5B71" w14:paraId="53BAB4F4">
      <w:pPr>
        <w:pStyle w:val="Paragraphedeliste"/>
        <w:numPr>
          <w:ilvl w:val="0"/>
          <w:numId w:val="2"/>
        </w:numPr>
      </w:pPr>
      <w:r>
        <w:t xml:space="preserve">Écoulements gravitaires : </w:t>
      </w:r>
    </w:p>
    <w:p w:rsidR="00ED5B71" w:rsidP="00ED5B71" w:rsidRDefault="00ED5B71" w14:paraId="4B052A2C">
      <w:pPr>
        <w:pStyle w:val="Paragraphedeliste"/>
        <w:numPr>
          <w:ilvl w:val="1"/>
          <w:numId w:val="2"/>
        </w:numPr>
      </w:pPr>
      <w:r>
        <w:t>cas de l’adduction d’eau potable (tuyaux pleins sous pression). Mise en évidence de l’intérêt de conversion d’énergie potentielle de position en énergie de pression.</w:t>
      </w:r>
    </w:p>
    <w:p w:rsidR="00ED5B71" w:rsidP="00ED5B71" w:rsidRDefault="00ED5B71" w14:paraId="7B85CFC7">
      <w:pPr>
        <w:pStyle w:val="Paragraphedeliste"/>
        <w:numPr>
          <w:ilvl w:val="1"/>
          <w:numId w:val="2"/>
        </w:numPr>
      </w:pPr>
      <w:r>
        <w:t xml:space="preserve">On n’abordera pas le cas des tuyaux non pleins à pression atmosphériques (eaux usées, pluviales </w:t>
      </w:r>
      <w:proofErr w:type="spellStart"/>
      <w:r>
        <w:t>etc</w:t>
      </w:r>
      <w:proofErr w:type="spellEnd"/>
      <w:r>
        <w:t>…)</w:t>
      </w:r>
    </w:p>
    <w:p w:rsidR="00B15610" w:rsidP="00B15610" w:rsidRDefault="00B15610" w14:paraId="078E2DC2"/>
    <w:p w:rsidR="00ED5B71" w:rsidP="00ED5B71" w:rsidRDefault="00ED5B71" w14:paraId="647CDBE9">
      <w:pPr>
        <w:pStyle w:val="Paragraphedeliste"/>
        <w:numPr>
          <w:ilvl w:val="0"/>
          <w:numId w:val="2"/>
        </w:numPr>
      </w:pPr>
      <w:r>
        <w:t xml:space="preserve">Présence de pompes : </w:t>
      </w:r>
    </w:p>
    <w:p w:rsidR="00ED5B71" w:rsidP="00ED5B71" w:rsidRDefault="00ED5B71" w14:paraId="25E77A41">
      <w:pPr>
        <w:pStyle w:val="Paragraphedeliste"/>
        <w:numPr>
          <w:ilvl w:val="1"/>
          <w:numId w:val="2"/>
        </w:numPr>
      </w:pPr>
      <w:r>
        <w:t>On mettra en évidence le rôle de la pompe :</w:t>
      </w:r>
    </w:p>
    <w:p w:rsidR="00ED5B71" w:rsidP="00ED5B71" w:rsidRDefault="00ED5B71" w14:paraId="1358A16D">
      <w:pPr>
        <w:pStyle w:val="Paragraphedeliste"/>
        <w:numPr>
          <w:ilvl w:val="2"/>
          <w:numId w:val="2"/>
        </w:numPr>
      </w:pPr>
      <w:r>
        <w:t>Compenser la différence de hauteur géométrique</w:t>
      </w:r>
    </w:p>
    <w:p w:rsidR="00ED5B71" w:rsidP="00ED5B71" w:rsidRDefault="00ED5B71" w14:paraId="7F9A32DF">
      <w:pPr>
        <w:pStyle w:val="Paragraphedeliste"/>
        <w:numPr>
          <w:ilvl w:val="2"/>
          <w:numId w:val="2"/>
        </w:numPr>
      </w:pPr>
      <w:r>
        <w:t>Créer éventuellement une pression résiduelle</w:t>
      </w:r>
    </w:p>
    <w:p w:rsidR="00ED5B71" w:rsidP="00ED5B71" w:rsidRDefault="00ED5B71" w14:paraId="69CF1DE2">
      <w:pPr>
        <w:pStyle w:val="Paragraphedeliste"/>
        <w:numPr>
          <w:ilvl w:val="2"/>
          <w:numId w:val="2"/>
        </w:numPr>
      </w:pPr>
      <w:r>
        <w:t>Compenser les pertes de charge</w:t>
      </w:r>
    </w:p>
    <w:p w:rsidR="00ED5B71" w:rsidP="00ED5B71" w:rsidRDefault="00ED5B71" w14:paraId="02864211">
      <w:pPr>
        <w:pStyle w:val="Paragraphedeliste"/>
        <w:numPr>
          <w:ilvl w:val="1"/>
          <w:numId w:val="2"/>
        </w:numPr>
      </w:pPr>
      <w:r>
        <w:t>Ce rôle pourra être mis en évidence à partir de l’équation de Bernoulli.</w:t>
      </w:r>
    </w:p>
    <w:p w:rsidRPr="00ED5B71" w:rsidR="00B15610" w:rsidP="00B15610" w:rsidRDefault="00B15610" w14:paraId="43566162">
      <w:pPr>
        <w:pStyle w:val="Paragraphedeliste"/>
        <w:numPr>
          <w:ilvl w:val="1"/>
          <w:numId w:val="2"/>
        </w:numPr>
      </w:pPr>
      <w:r>
        <w:t>On n’abordera le phénomène de cavitation que de manière qualitative, uniquement pour justifier de l’emplacement « bas » des pompes dans une installation.</w:t>
      </w:r>
    </w:p>
    <w:p w:rsidR="00B15610" w:rsidP="00B15610" w:rsidRDefault="00B15610" w14:paraId="29542BCB"/>
    <w:p w:rsidR="00B15610" w:rsidP="00B15610" w:rsidRDefault="00B15610" w14:paraId="21415B6B">
      <w:pPr>
        <w:pStyle w:val="Paragraphedeliste"/>
        <w:numPr>
          <w:ilvl w:val="0"/>
          <w:numId w:val="2"/>
        </w:numPr>
      </w:pPr>
      <w:r>
        <w:t>Installations de ventilation et de traitement d’air :</w:t>
      </w:r>
    </w:p>
    <w:p w:rsidR="00B15610" w:rsidP="00B15610" w:rsidRDefault="00B15610" w14:paraId="5192827E">
      <w:pPr>
        <w:pStyle w:val="Paragraphedeliste"/>
        <w:numPr>
          <w:ilvl w:val="1"/>
          <w:numId w:val="2"/>
        </w:numPr>
      </w:pPr>
      <w:r>
        <w:t>On considèrera des installations de ventilation ou de traitement d’air en négligeant l’effet de la différence de hauteur géométrique</w:t>
      </w:r>
    </w:p>
    <w:p w:rsidR="00B15610" w:rsidP="00B15610" w:rsidRDefault="00B15610" w14:paraId="01885BD3">
      <w:pPr>
        <w:pStyle w:val="Titre2"/>
      </w:pPr>
      <w:r>
        <w:t>Composants du système :</w:t>
      </w:r>
    </w:p>
    <w:p w:rsidR="00B15610" w:rsidP="00B15610" w:rsidRDefault="00B15610" w14:paraId="4AADC800">
      <w:r>
        <w:t xml:space="preserve">On observera les caractéristiques </w:t>
      </w:r>
    </w:p>
    <w:p w:rsidR="00B15610" w:rsidP="00B15610" w:rsidRDefault="00B15610" w14:paraId="35CC8066">
      <w:pPr>
        <w:pStyle w:val="Paragraphedeliste"/>
        <w:numPr>
          <w:ilvl w:val="0"/>
          <w:numId w:val="2"/>
        </w:numPr>
      </w:pPr>
      <w:r>
        <w:t>des pompes, ventilateurs (courbes) afin de justifier leur bon fonctionnement</w:t>
      </w:r>
    </w:p>
    <w:p w:rsidR="00B15610" w:rsidP="00B15610" w:rsidRDefault="00B15610" w14:paraId="4E9041D5">
      <w:pPr>
        <w:pStyle w:val="Paragraphedeliste"/>
        <w:numPr>
          <w:ilvl w:val="0"/>
          <w:numId w:val="2"/>
        </w:numPr>
      </w:pPr>
      <w:r>
        <w:t>des vannes, organes de réglage, … afin de quantifier les pertes de charge engendrées</w:t>
      </w:r>
    </w:p>
    <w:p w:rsidR="00774D25" w:rsidP="63AE7852" w:rsidRDefault="00774D25" w14:paraId="36C3FE70" w14:noSpellErr="1" w14:textId="233B784C">
      <w:pPr>
        <w:pStyle w:val="Titre1"/>
      </w:pPr>
      <w:r w:rsidR="63AE7852">
        <w:t>Ce que l’on attend de l’élève</w:t>
      </w:r>
      <w:r w:rsidR="0009711F">
        <w:t> :</w:t>
      </w:r>
    </w:p>
    <w:p w:rsidR="0009711F" w:rsidP="0009711F" w:rsidRDefault="0009711F" w14:paraId="15C4EE03">
      <w:r>
        <w:t>Face à un schéma de principe, un synoptique ou une représentation d’un système, l’élève devra être capable de :</w:t>
      </w:r>
    </w:p>
    <w:p w:rsidR="0009711F" w:rsidP="0009711F" w:rsidRDefault="0009711F" w14:paraId="22FDFDBB">
      <w:pPr>
        <w:pStyle w:val="Paragraphedeliste"/>
        <w:numPr>
          <w:ilvl w:val="0"/>
          <w:numId w:val="2"/>
        </w:numPr>
      </w:pPr>
      <w:r>
        <w:t xml:space="preserve">relever les informations nécessaires au bilan de pertes de charges (diamètres, débits, </w:t>
      </w:r>
      <w:proofErr w:type="spellStart"/>
      <w:r>
        <w:t>etc</w:t>
      </w:r>
      <w:proofErr w:type="spellEnd"/>
      <w:r>
        <w:t>…)</w:t>
      </w:r>
      <w:r w:rsidR="00D82B9A">
        <w:t>,</w:t>
      </w:r>
    </w:p>
    <w:p w:rsidR="0009711F" w:rsidP="63AE7852" w:rsidRDefault="00D82B9A" w14:paraId="33FC0752" w14:noSpellErr="1" w14:textId="5E2ADF01">
      <w:pPr>
        <w:pStyle w:val="Paragraphedeliste"/>
        <w:numPr>
          <w:ilvl w:val="0"/>
          <w:numId w:val="2"/>
        </w:numPr>
      </w:pPr>
      <w:r w:rsidR="63AE7852">
        <w:t>déterminer un coefficient de perte de charge linéaire et la perte de charge linéaire à partir d’abaques ou de bases de données,</w:t>
      </w:r>
    </w:p>
    <w:p w:rsidR="00D82B9A" w:rsidP="63AE7852" w:rsidRDefault="00D82B9A" w14:paraId="31C5667B" w14:noSpellErr="1" w14:textId="3D6037C1">
      <w:pPr>
        <w:pStyle w:val="Paragraphedeliste"/>
        <w:numPr>
          <w:ilvl w:val="0"/>
          <w:numId w:val="2"/>
        </w:numPr>
      </w:pPr>
      <w:r>
        <w:t xml:space="preserve">déterminer un coefficient de pertes de charge singulière et </w:t>
      </w:r>
      <w:r w:rsidR="63AE7852">
        <w:t>la perte</w:t>
      </w:r>
      <w:r>
        <w:t xml:space="preserve"> de charge singulière à partir de tableaux de données,</w:t>
      </w:r>
    </w:p>
    <w:p w:rsidR="00D82B9A" w:rsidP="0009711F" w:rsidRDefault="00D82B9A" w14:paraId="4EDD4CC2">
      <w:pPr>
        <w:pStyle w:val="Paragraphedeliste"/>
        <w:numPr>
          <w:ilvl w:val="0"/>
          <w:numId w:val="2"/>
        </w:numPr>
      </w:pPr>
      <w:r>
        <w:t>déterminer la perte de charge globale d’un circuit hydraulique ou aéraulique</w:t>
      </w:r>
    </w:p>
    <w:p w:rsidR="00D82B9A" w:rsidP="63AE7852" w:rsidRDefault="00D82B9A" w14:paraId="756F2A35" w14:noSpellErr="1" w14:textId="01A84323">
      <w:pPr>
        <w:pStyle w:val="Paragraphedeliste"/>
        <w:numPr>
          <w:ilvl w:val="0"/>
          <w:numId w:val="2"/>
        </w:numPr>
      </w:pPr>
      <w:r w:rsidRPr="63AE7852" w:rsidR="63AE7852">
        <w:t>justifier la sélection ou donner les critères de sélection ou sélectionner la pompe ou le ventilateur adapté  dans des cas simples.</w:t>
      </w:r>
    </w:p>
    <w:p w:rsidRPr="0009711F" w:rsidR="00D82B9A" w:rsidP="00D82B9A" w:rsidRDefault="00D82B9A" w14:paraId="049B0D73"/>
    <w:sectPr w:rsidRPr="0009711F" w:rsidR="00D82B9A"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14="http://schemas.microsoft.com/office/word/2010/wordml" xmlns:wne="http://schemas.microsoft.com/office/word/2006/wordml" xmlns:mc="http://schemas.openxmlformats.org/markup-compatibility/2006" xmlns:w="http://schemas.openxmlformats.org/wordprocessingml/2006/main" mc:Ignorable="w14">
  <w:endnote w:type="separator" w:id="-1">
    <w:p w:rsidR="00ED5B71" w:rsidP="008C3D7F" w:rsidRDefault="00ED5B71" w14:paraId="36000939">
      <w:r>
        <w:separator/>
      </w:r>
    </w:p>
  </w:endnote>
  <w:endnote w:type="continuationSeparator" w:id="0">
    <w:p w:rsidR="00ED5B71" w:rsidP="008C3D7F" w:rsidRDefault="00ED5B71" w14:paraId="587A2196">
      <w:r>
        <w:continuationSeparator/>
      </w:r>
    </w:p>
  </w:endnote>
</w:endnotes>
</file>

<file path=word/fontTable.xml><?xml version="1.0" encoding="utf-8"?>
<w:font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 w14:paraId="7488BD65" w:rsidR="00ED5B71" w:rsidRDefault="00ED5B71">
    <w:pPr>
      <w:pStyle w:val="Pieddepage"/>
      <w:pBdr>
        <w:top w:val="thinThickSmallGap" w:sz="24" w:space="1" w:color="622423" w:themeColor="accent2" w:themeShade="7F"/>
      </w:pBdr>
      <w:rPr>
        <w:rFonts w:asciiTheme="majorHAnsi" w:hAnsiTheme="majorHAnsi"/>
      </w:rPr>
    </w:pPr>
    <w:r>
      <w:t>T.C.-2.3.5_1</w:t>
    </w:r>
    <w:r w:rsidRPr="00AD44D3">
      <w:rPr>
        <w:rFonts w:cs="Arial"/>
      </w:rPr>
      <w:ptab w:relativeTo="margin" w:alignment="right" w:leader="none"/>
    </w:r>
    <w:r w:rsidRPr="00AD44D3">
      <w:rPr>
        <w:rFonts w:cs="Arial"/>
      </w:rPr>
      <w:t>Page</w:t>
    </w:r>
    <w:r>
      <w:rPr>
        <w:rFonts w:asciiTheme="majorHAnsi" w:hAnsiTheme="majorHAnsi"/>
      </w:rPr>
      <w:t xml:space="preserve"> </w:t>
    </w:r>
    <w:r w:rsidR="00882253" w:rsidRPr="00AD44D3">
      <w:rPr>
        <w:rFonts w:cs="Arial"/>
      </w:rPr>
      <w:fldChar w:fldCharType="begin"/>
    </w:r>
    <w:r w:rsidRPr="00AD44D3">
      <w:rPr>
        <w:rFonts w:cs="Arial"/>
      </w:rPr>
      <w:instrText xml:space="preserve"> PAGE   \* MERGEFORMAT </w:instrText>
    </w:r>
    <w:r w:rsidR="00882253" w:rsidRPr="00AD44D3">
      <w:rPr>
        <w:rFonts w:cs="Arial"/>
      </w:rPr>
      <w:fldChar w:fldCharType="separate"/>
    </w:r>
    <w:r w:rsidR="00D82B9A">
      <w:rPr>
        <w:rFonts w:cs="Arial"/>
        <w:noProof/>
      </w:rPr>
      <w:t>3</w:t>
    </w:r>
    <w:r w:rsidR="00882253" w:rsidRPr="00AD44D3">
      <w:rPr>
        <w:rFonts w:cs="Arial"/>
      </w:rPr>
      <w:fldChar w:fldCharType="end"/>
    </w:r>
  </w:p>
  <w:p w14:paraId="0483BC5E" w:rsidR="00ED5B71" w:rsidRDefault="00ED5B71">
    <w:pPr>
      <w:pStyle w:val="Pieddepage"/>
    </w:pPr>
  </w:p>
</w:ftr>
</file>

<file path=word/footnotes.xml><?xml version="1.0" encoding="utf-8"?>
<w:footnotes xmlns:w14="http://schemas.microsoft.com/office/word/2010/wordml" xmlns:wne="http://schemas.microsoft.com/office/word/2006/wordml" xmlns:mc="http://schemas.openxmlformats.org/markup-compatibility/2006" xmlns:w="http://schemas.openxmlformats.org/wordprocessingml/2006/main" mc:Ignorable="w14">
  <w:footnote w:type="separator" w:id="-1">
    <w:p w:rsidR="00ED5B71" w:rsidP="008C3D7F" w:rsidRDefault="00ED5B71" w14:paraId="70F1A154">
      <w:r>
        <w:separator/>
      </w:r>
    </w:p>
  </w:footnote>
  <w:footnote w:type="continuationSeparator" w:id="0">
    <w:p w:rsidR="00ED5B71" w:rsidP="008C3D7F" w:rsidRDefault="00ED5B71" w14:paraId="30D42BB2">
      <w:r>
        <w:continuationSeparator/>
      </w:r>
    </w:p>
  </w:footnote>
</w:footnotes>
</file>

<file path=word/header1.xml><?xml version="1.0" encoding="utf-8"?>
<w:hdr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sdt>
    <w:sdtPr>
      <w:rPr>
        <w:b/>
        <w:sz w:val="32"/>
      </w:rPr>
      <w:alias w:val="Titre"/>
      <w:id w:val="77738743"/>
      <w:placeholder>
        <w:docPart w:val="48BC27E9733F40C6B21671996B73A173"/>
      </w:placeholder>
      <w:dataBinding w:prefixMappings="xmlns:ns0='http://schemas.openxmlformats.org/package/2006/metadata/core-properties' xmlns:ns1='http://purl.org/dc/elements/1.1/'" w:xpath="/ns0:coreProperties[1]/ns1:title[1]" w:storeItemID="{6C3C8BC8-F283-45AE-878A-BAB7291924A1}"/>
      <w:text/>
    </w:sdtPr>
    <w:sdtContent>
      <w:p w14:paraId="0658B17D" w:rsidR="00ED5B71" w:rsidRPr="008C3D7F" w:rsidRDefault="00ED5B7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14:paraId="132778BB" w:rsidR="00ED5B71" w:rsidRDefault="00ED5B71">
    <w:pPr>
      <w:pStyle w:val="En-tte"/>
    </w:pPr>
  </w:p>
</w:hdr>
</file>

<file path=word/numbering.xml><?xml version="1.0" encoding="utf-8"?>
<w:numbering xmlns:wne="http://schemas.microsoft.com/office/word/2006/wordml" xmlns:w="http://schemas.openxmlformats.org/wordprocessingml/2006/main">
  <w:abstractNum w:abstractNumId="0">
    <w:nsid w:val="36FB6990"/>
    <w:multiLevelType w:val="hybridMultilevel"/>
    <w:tmpl w:val="DCD44626"/>
    <w:lvl w:ilvl="0" w:tplc="5798FD3E">
      <w:numFmt w:val="bullet"/>
      <w:lvlText w:val="-"/>
      <w:lvlJc w:val="left"/>
      <w:pPr>
        <w:ind w:left="720" w:hanging="360"/>
      </w:pPr>
      <w:rPr>
        <w:rFonts w:hint="default" w:ascii="Arial" w:hAnsi="Arial" w:cs="Arial" w:eastAsiaTheme="minorHAns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7B5C49A0"/>
    <w:multiLevelType w:val="hybridMultilevel"/>
    <w:tmpl w:val="6142ADC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14="http://schemas.microsoft.com/office/word/2010/wordml" xmlns:r="http://schemas.openxmlformats.org/officeDocument/2006/relationships"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AA6A0A"/>
    <w:rsid w:val="0009711F"/>
    <w:rsid w:val="0012582E"/>
    <w:rsid w:val="00145E8F"/>
    <w:rsid w:val="001D23C7"/>
    <w:rsid w:val="00281D84"/>
    <w:rsid w:val="0029156D"/>
    <w:rsid w:val="0030546E"/>
    <w:rsid w:val="00406F9C"/>
    <w:rsid w:val="00477312"/>
    <w:rsid w:val="005229D4"/>
    <w:rsid w:val="00525A22"/>
    <w:rsid w:val="00550D8C"/>
    <w:rsid w:val="005F6D16"/>
    <w:rsid w:val="00620B13"/>
    <w:rsid w:val="006315A0"/>
    <w:rsid w:val="00737783"/>
    <w:rsid w:val="00774D25"/>
    <w:rsid w:val="007B553D"/>
    <w:rsid w:val="007F7F53"/>
    <w:rsid w:val="00882253"/>
    <w:rsid w:val="008C3D7F"/>
    <w:rsid w:val="009B3F71"/>
    <w:rsid w:val="00A15C52"/>
    <w:rsid w:val="00A74E9F"/>
    <w:rsid w:val="00AA6A0A"/>
    <w:rsid w:val="00AB3B32"/>
    <w:rsid w:val="00AD44D3"/>
    <w:rsid w:val="00B00091"/>
    <w:rsid w:val="00B15610"/>
    <w:rsid w:val="00B5767B"/>
    <w:rsid w:val="00C80D41"/>
    <w:rsid w:val="00D30092"/>
    <w:rsid w:val="00D61259"/>
    <w:rsid w:val="00D64037"/>
    <w:rsid w:val="00D70D0F"/>
    <w:rsid w:val="00D82B9A"/>
    <w:rsid w:val="00DD2F7D"/>
    <w:rsid w:val="00EA0633"/>
    <w:rsid w:val="00ED5B71"/>
    <w:rsid w:val="00EE66AF"/>
    <w:rsid w:val="00F2697B"/>
    <w:rsid w:val="63AE78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81AA"/>
</w:settings>
</file>

<file path=word/styles.xml><?xml version="1.0" encoding="utf-8"?>
<w:styles xmlns:w="http://schemas.openxmlformats.org/wordprocessingml/2006/main">
  <w:docDefaults>
    <w:rPrDefault>
      <w:rPr>
        <w:rFonts w:ascii="Arial" w:hAnsi="Arial" w:cs="Times New Roman" w:eastAsiaTheme="minorHAnsi"/>
        <w:szCs w:val="24"/>
        <w:lang w:val="fr-FR"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3D7F"/>
  </w:style>
  <w:style w:type="paragraph" w:styleId="Titre1">
    <w:name w:val="heading 1"/>
    <w:basedOn w:val="Normal"/>
    <w:next w:val="Normal"/>
    <w:link w:val="Titre1Car"/>
    <w:uiPriority w:val="9"/>
    <w:qFormat/>
    <w:rsid w:val="009B3F7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B3F71"/>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basedOn w:val="Normal"/>
    <w:next w:val="Normal"/>
    <w:link w:val="TitreCar"/>
    <w:uiPriority w:val="10"/>
    <w:qFormat/>
    <w:rsid w:val="008C3D7F"/>
    <w:pPr>
      <w:pBdr>
        <w:bottom w:val="single" w:color="4F81BD" w:themeColor="accent1" w:sz="8" w:space="4"/>
      </w:pBdr>
      <w:spacing w:after="300"/>
      <w:contextualSpacing/>
    </w:pPr>
    <w:rPr>
      <w:rFonts w:eastAsiaTheme="majorEastAsia" w:cstheme="majorBidi"/>
      <w:spacing w:val="5"/>
      <w:kern w:val="28"/>
      <w:sz w:val="36"/>
      <w:szCs w:val="52"/>
    </w:rPr>
  </w:style>
  <w:style w:type="character" w:styleId="TitreCar" w:customStyle="1">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styleId="En-tteCar" w:customStyle="1">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styleId="PieddepageCar" w:customStyle="1">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styleId="TextedebullesCar" w:customStyle="1">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edeliste">
    <w:name w:val="List Paragraph"/>
    <w:basedOn w:val="Normal"/>
    <w:uiPriority w:val="34"/>
    <w:qFormat/>
    <w:rsid w:val="0030546E"/>
    <w:pPr>
      <w:ind w:left="720"/>
      <w:contextualSpacing/>
    </w:pPr>
  </w:style>
  <w:style w:type="character" w:styleId="Titre1Car" w:customStyle="1">
    <w:name w:val="Titre 1 Car"/>
    <w:basedOn w:val="Policepardfaut"/>
    <w:link w:val="Titre1"/>
    <w:uiPriority w:val="9"/>
    <w:rsid w:val="009B3F71"/>
    <w:rPr>
      <w:rFonts w:asciiTheme="majorHAnsi" w:hAnsiTheme="majorHAnsi" w:eastAsiaTheme="majorEastAsia" w:cstheme="majorBidi"/>
      <w:b/>
      <w:bCs/>
      <w:color w:val="365F91" w:themeColor="accent1" w:themeShade="BF"/>
      <w:sz w:val="28"/>
      <w:szCs w:val="28"/>
    </w:rPr>
  </w:style>
  <w:style w:type="character" w:styleId="Titre2Car" w:customStyle="1">
    <w:name w:val="Titre 2 Car"/>
    <w:basedOn w:val="Policepardfaut"/>
    <w:link w:val="Titre2"/>
    <w:uiPriority w:val="9"/>
    <w:rsid w:val="009B3F71"/>
    <w:rPr>
      <w:rFonts w:asciiTheme="majorHAnsi" w:hAnsiTheme="majorHAnsi" w:eastAsiaTheme="majorEastAsia"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BC27E9733F40C6B21671996B73A173"/>
        <w:category>
          <w:name w:val="Général"/>
          <w:gallery w:val="placeholder"/>
        </w:category>
        <w:types>
          <w:type w:val="bbPlcHdr"/>
        </w:types>
        <w:behaviors>
          <w:behavior w:val="content"/>
        </w:behaviors>
        <w:guid w:val="{DD0EB25E-0AF2-4604-AE83-C2FAF97538B9}"/>
      </w:docPartPr>
      <w:docPartBody>
        <w:p w:rsidR="00395D6E" w:rsidRDefault="00B42661">
          <w:pPr>
            <w:pStyle w:val="48BC27E9733F40C6B21671996B73A17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2661"/>
    <w:rsid w:val="00313478"/>
    <w:rsid w:val="00395D6E"/>
    <w:rsid w:val="0085588B"/>
    <w:rsid w:val="00B42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BC27E9733F40C6B21671996B73A173">
    <w:name w:val="48BC27E9733F40C6B21671996B73A173"/>
    <w:rsid w:val="00395D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0921-4F36-4FB1-8FFC-6EE18408A74C}">
  <ds:schemaRefs>
    <ds:schemaRef ds:uri="http://schemas.openxmlformats.org/officeDocument/2006/bibliography"/>
  </ds:schemaRefs>
</ds:datastoreItem>
</file>

<file path=docProps/app.xml><?xml version="1.0" encoding="utf-8"?>
<ap:Properties xmlns:ap="http://schemas.openxmlformats.org/officeDocument/2006/extended-properties">
  <ap:Template>Modèle Fiche connaissance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Tronc Commun</dc:title>
  <dc:creator>Patrick Cohen</dc:creator>
  <lastModifiedBy>nicolas morancy</lastModifiedBy>
  <revision>5</revision>
</coreProperties>
</file>