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C8" w:rsidRDefault="00820135" w:rsidP="00E13A46">
      <w:pPr>
        <w:jc w:val="center"/>
        <w:rPr>
          <w:b/>
          <w:sz w:val="28"/>
          <w:szCs w:val="28"/>
          <w:u w:val="single"/>
        </w:rPr>
      </w:pPr>
      <w:r w:rsidRPr="00820135">
        <w:rPr>
          <w:b/>
          <w:sz w:val="28"/>
          <w:szCs w:val="28"/>
          <w:u w:val="single"/>
        </w:rPr>
        <w:t xml:space="preserve">Pédagogie inversée en classe de Première ES – </w:t>
      </w:r>
      <w:r w:rsidR="00E13A46">
        <w:rPr>
          <w:b/>
          <w:sz w:val="28"/>
          <w:szCs w:val="28"/>
          <w:u w:val="single"/>
        </w:rPr>
        <w:t xml:space="preserve">                                                                      </w:t>
      </w:r>
      <w:r w:rsidRPr="00820135">
        <w:rPr>
          <w:b/>
          <w:sz w:val="28"/>
          <w:szCs w:val="28"/>
          <w:u w:val="single"/>
        </w:rPr>
        <w:t>Quelles politiques conjoncturelles ?</w:t>
      </w:r>
    </w:p>
    <w:p w:rsidR="001B3D0D" w:rsidRPr="001B3D0D" w:rsidRDefault="001B3D0D" w:rsidP="00E13A46">
      <w:pPr>
        <w:jc w:val="center"/>
        <w:rPr>
          <w:sz w:val="24"/>
          <w:szCs w:val="24"/>
        </w:rPr>
      </w:pPr>
      <w:r w:rsidRPr="001B3D0D">
        <w:rPr>
          <w:sz w:val="24"/>
          <w:szCs w:val="24"/>
        </w:rPr>
        <w:t>Eric Duclos, professeur au lycée Jean Monnet à Blanquefort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20135" w:rsidRPr="00820135" w:rsidTr="00820135">
        <w:tc>
          <w:tcPr>
            <w:tcW w:w="1980" w:type="dxa"/>
          </w:tcPr>
          <w:p w:rsidR="00820135" w:rsidRPr="00820135" w:rsidRDefault="00820135" w:rsidP="00820135">
            <w:pPr>
              <w:jc w:val="center"/>
              <w:rPr>
                <w:b/>
                <w:sz w:val="24"/>
                <w:szCs w:val="24"/>
              </w:rPr>
            </w:pPr>
            <w:r w:rsidRPr="00820135">
              <w:rPr>
                <w:b/>
                <w:sz w:val="24"/>
                <w:szCs w:val="24"/>
              </w:rPr>
              <w:t>Niveau</w:t>
            </w:r>
          </w:p>
        </w:tc>
        <w:tc>
          <w:tcPr>
            <w:tcW w:w="7513" w:type="dxa"/>
          </w:tcPr>
          <w:p w:rsidR="00820135" w:rsidRPr="00E13A46" w:rsidRDefault="00820135" w:rsidP="00820135">
            <w:pPr>
              <w:jc w:val="center"/>
            </w:pPr>
            <w:r w:rsidRPr="00E13A46">
              <w:t>Première</w:t>
            </w:r>
          </w:p>
        </w:tc>
      </w:tr>
      <w:tr w:rsidR="00820135" w:rsidRPr="00820135" w:rsidTr="00820135">
        <w:tc>
          <w:tcPr>
            <w:tcW w:w="1980" w:type="dxa"/>
          </w:tcPr>
          <w:p w:rsidR="00820135" w:rsidRPr="00820135" w:rsidRDefault="00820135" w:rsidP="00820135">
            <w:pPr>
              <w:jc w:val="center"/>
              <w:rPr>
                <w:b/>
                <w:sz w:val="24"/>
                <w:szCs w:val="24"/>
              </w:rPr>
            </w:pPr>
            <w:r w:rsidRPr="00820135">
              <w:rPr>
                <w:b/>
                <w:sz w:val="24"/>
                <w:szCs w:val="24"/>
              </w:rPr>
              <w:t>Thème</w:t>
            </w:r>
          </w:p>
        </w:tc>
        <w:tc>
          <w:tcPr>
            <w:tcW w:w="7513" w:type="dxa"/>
          </w:tcPr>
          <w:p w:rsidR="00820135" w:rsidRPr="00E13A46" w:rsidRDefault="00820135" w:rsidP="00820135">
            <w:pPr>
              <w:jc w:val="center"/>
            </w:pPr>
            <w:r w:rsidRPr="00E13A46">
              <w:t>Régulations et déséquilibres macroéconomiques</w:t>
            </w:r>
          </w:p>
        </w:tc>
      </w:tr>
      <w:tr w:rsidR="00820135" w:rsidRPr="00820135" w:rsidTr="00820135">
        <w:tc>
          <w:tcPr>
            <w:tcW w:w="1980" w:type="dxa"/>
          </w:tcPr>
          <w:p w:rsidR="00820135" w:rsidRPr="00820135" w:rsidRDefault="00820135" w:rsidP="00820135">
            <w:pPr>
              <w:jc w:val="center"/>
              <w:rPr>
                <w:b/>
                <w:sz w:val="24"/>
                <w:szCs w:val="24"/>
              </w:rPr>
            </w:pPr>
            <w:r w:rsidRPr="00820135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</w:tcPr>
          <w:p w:rsidR="00820135" w:rsidRPr="00E13A46" w:rsidRDefault="00820135" w:rsidP="00820135">
            <w:pPr>
              <w:jc w:val="center"/>
            </w:pPr>
            <w:r w:rsidRPr="00E13A46">
              <w:t>Quelles politiques conjoncturelles ?</w:t>
            </w:r>
          </w:p>
        </w:tc>
      </w:tr>
      <w:tr w:rsidR="00820135" w:rsidRPr="00820135" w:rsidTr="00820135">
        <w:tc>
          <w:tcPr>
            <w:tcW w:w="1980" w:type="dxa"/>
          </w:tcPr>
          <w:p w:rsidR="00820135" w:rsidRPr="00820135" w:rsidRDefault="00820135" w:rsidP="00820135">
            <w:pPr>
              <w:jc w:val="center"/>
              <w:rPr>
                <w:b/>
                <w:sz w:val="24"/>
                <w:szCs w:val="24"/>
              </w:rPr>
            </w:pPr>
            <w:r w:rsidRPr="00820135">
              <w:rPr>
                <w:b/>
                <w:sz w:val="24"/>
                <w:szCs w:val="24"/>
              </w:rPr>
              <w:t>Indications complémentaires</w:t>
            </w:r>
          </w:p>
        </w:tc>
        <w:tc>
          <w:tcPr>
            <w:tcW w:w="7513" w:type="dxa"/>
          </w:tcPr>
          <w:p w:rsidR="00820135" w:rsidRPr="00E13A46" w:rsidRDefault="001B3D0D" w:rsidP="00820135">
            <w:r w:rsidRPr="00E13A46">
              <w:t>« On présentera les principaux déséquilibres macroéconomiques et leurs instruments de mesure. On montrera comment ils sont liés à la dynamique de la demande globale. En s'appuyant sur les développements du point 5.2, on montrera comment les pouvoirs publics peuvent utiliser la politique budgétaire pour agir sur les déséquilibres. »</w:t>
            </w:r>
          </w:p>
        </w:tc>
      </w:tr>
      <w:tr w:rsidR="00820135" w:rsidRPr="00820135" w:rsidTr="00820135">
        <w:tc>
          <w:tcPr>
            <w:tcW w:w="1980" w:type="dxa"/>
          </w:tcPr>
          <w:p w:rsidR="00820135" w:rsidRPr="00820135" w:rsidRDefault="00820135" w:rsidP="008201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Pré-requis</w:t>
            </w:r>
            <w:proofErr w:type="spellEnd"/>
          </w:p>
        </w:tc>
        <w:tc>
          <w:tcPr>
            <w:tcW w:w="7513" w:type="dxa"/>
          </w:tcPr>
          <w:p w:rsidR="00B324A3" w:rsidRPr="00E13A46" w:rsidRDefault="001B3D0D" w:rsidP="0069292E">
            <w:pPr>
              <w:jc w:val="both"/>
            </w:pPr>
            <w:r w:rsidRPr="00E13A46">
              <w:rPr>
                <w:u w:val="single"/>
              </w:rPr>
              <w:t>Savoirs</w:t>
            </w:r>
            <w:r w:rsidRPr="00E13A46">
              <w:t xml:space="preserve"> : PIB, taux de chômage, balance des transacti</w:t>
            </w:r>
            <w:r w:rsidR="0069292E" w:rsidRPr="00E13A46">
              <w:t>ons courantes</w:t>
            </w:r>
            <w:r w:rsidRPr="00E13A46">
              <w:t>, inflation,</w:t>
            </w:r>
            <w:r w:rsidR="001C4449">
              <w:t xml:space="preserve"> déséquilibre extérieur,</w:t>
            </w:r>
            <w:r w:rsidRPr="00E13A46">
              <w:t xml:space="preserve"> croissance économique</w:t>
            </w:r>
            <w:r w:rsidR="0069292E" w:rsidRPr="00E13A46">
              <w:t xml:space="preserve">, </w:t>
            </w:r>
            <w:r w:rsidRPr="00E13A46">
              <w:t>déséquilibres macroéconomiques, fonctions économiques de l’Etat, budget de l’Etat, dépenses publiques, recettes publiques, déficit budgétaire, déficit public, dette publique, demande, investissement, production, revenus, con</w:t>
            </w:r>
            <w:r w:rsidR="00E13A46">
              <w:t>sommation</w:t>
            </w:r>
            <w:r w:rsidR="0069292E" w:rsidRPr="00E13A46">
              <w:t>.</w:t>
            </w:r>
          </w:p>
          <w:p w:rsidR="00820135" w:rsidRPr="00E13A46" w:rsidRDefault="00820135" w:rsidP="00222FAF">
            <w:pPr>
              <w:jc w:val="both"/>
            </w:pPr>
            <w:r w:rsidRPr="00E13A46">
              <w:rPr>
                <w:u w:val="single"/>
              </w:rPr>
              <w:t>Savoir-faire</w:t>
            </w:r>
            <w:r w:rsidRPr="00E13A46">
              <w:t xml:space="preserve"> : </w:t>
            </w:r>
            <w:r w:rsidR="001B3D0D" w:rsidRPr="00E13A46">
              <w:t>taux de variation, % de répartition, lecture de représentation graphique</w:t>
            </w:r>
          </w:p>
        </w:tc>
      </w:tr>
      <w:tr w:rsidR="00820135" w:rsidRPr="00820135" w:rsidTr="00820135">
        <w:tc>
          <w:tcPr>
            <w:tcW w:w="1980" w:type="dxa"/>
          </w:tcPr>
          <w:p w:rsidR="00820135" w:rsidRPr="00820135" w:rsidRDefault="00006E51" w:rsidP="00820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7513" w:type="dxa"/>
          </w:tcPr>
          <w:p w:rsidR="00820135" w:rsidRPr="00E13A46" w:rsidRDefault="00CF4AF3" w:rsidP="00006E51">
            <w:r w:rsidRPr="00E13A46">
              <w:t>Aborder en dehors de la classe, certaines notions</w:t>
            </w:r>
            <w:r w:rsidR="00E13A46" w:rsidRPr="00E13A46">
              <w:t xml:space="preserve"> et mécanismes du programme</w:t>
            </w:r>
            <w:r w:rsidRPr="00E13A46">
              <w:t xml:space="preserve">, afin de consacrer plus de temps à la mise en activité des élèves en classe. </w:t>
            </w:r>
          </w:p>
        </w:tc>
      </w:tr>
    </w:tbl>
    <w:p w:rsidR="00820135" w:rsidRDefault="00820135" w:rsidP="00820135">
      <w:pPr>
        <w:jc w:val="center"/>
        <w:rPr>
          <w:b/>
          <w:sz w:val="24"/>
          <w:szCs w:val="24"/>
          <w:u w:val="single"/>
        </w:rPr>
      </w:pPr>
    </w:p>
    <w:p w:rsidR="003368BD" w:rsidRDefault="003368BD" w:rsidP="003368BD">
      <w:pPr>
        <w:jc w:val="both"/>
        <w:rPr>
          <w:b/>
          <w:color w:val="5B9BD5" w:themeColor="accent1"/>
          <w:sz w:val="32"/>
          <w:u w:val="single"/>
        </w:rPr>
      </w:pPr>
      <w:r w:rsidRPr="0063574A">
        <w:rPr>
          <w:b/>
          <w:color w:val="5B9BD5" w:themeColor="accent1"/>
          <w:sz w:val="32"/>
          <w:u w:val="single"/>
        </w:rPr>
        <w:t xml:space="preserve">Etape 1 : </w:t>
      </w:r>
      <w:r>
        <w:rPr>
          <w:b/>
          <w:color w:val="5B9BD5" w:themeColor="accent1"/>
          <w:sz w:val="32"/>
          <w:u w:val="single"/>
        </w:rPr>
        <w:t>découverte de notions et mécanismes en dehors de la classe</w:t>
      </w:r>
    </w:p>
    <w:p w:rsidR="003368BD" w:rsidRDefault="003368BD" w:rsidP="003368BD">
      <w:pPr>
        <w:spacing w:after="0"/>
        <w:jc w:val="both"/>
        <w:rPr>
          <w:sz w:val="24"/>
        </w:rPr>
      </w:pPr>
      <w:r w:rsidRPr="0063574A">
        <w:rPr>
          <w:sz w:val="24"/>
        </w:rPr>
        <w:t xml:space="preserve">1. </w:t>
      </w:r>
      <w:r>
        <w:rPr>
          <w:sz w:val="24"/>
        </w:rPr>
        <w:t xml:space="preserve">Regarder la 1ère vidéo sur les déséquilibres macroéconomiques et leurs instruments de mesures. </w:t>
      </w:r>
    </w:p>
    <w:p w:rsidR="003368BD" w:rsidRDefault="003368BD" w:rsidP="003368BD">
      <w:pPr>
        <w:spacing w:after="0"/>
        <w:jc w:val="both"/>
        <w:rPr>
          <w:sz w:val="24"/>
        </w:rPr>
      </w:pPr>
      <w:r>
        <w:rPr>
          <w:sz w:val="24"/>
        </w:rPr>
        <w:t>2. Regarder la 2</w:t>
      </w:r>
      <w:r w:rsidRPr="003368BD">
        <w:rPr>
          <w:sz w:val="24"/>
          <w:vertAlign w:val="superscript"/>
        </w:rPr>
        <w:t>ème</w:t>
      </w:r>
      <w:r>
        <w:rPr>
          <w:sz w:val="24"/>
        </w:rPr>
        <w:t xml:space="preserve"> </w:t>
      </w:r>
      <w:r w:rsidR="001C4449">
        <w:rPr>
          <w:sz w:val="24"/>
        </w:rPr>
        <w:t>vidéo sur la relance budgétaire.</w:t>
      </w:r>
    </w:p>
    <w:p w:rsidR="001C4449" w:rsidRPr="0063574A" w:rsidRDefault="001C4449" w:rsidP="003368BD">
      <w:pPr>
        <w:spacing w:after="0"/>
        <w:jc w:val="both"/>
        <w:rPr>
          <w:sz w:val="24"/>
        </w:rPr>
      </w:pPr>
      <w:r>
        <w:rPr>
          <w:sz w:val="24"/>
        </w:rPr>
        <w:t>3. Regarder la 3</w:t>
      </w:r>
      <w:r w:rsidRPr="001C4449">
        <w:rPr>
          <w:sz w:val="24"/>
          <w:vertAlign w:val="superscript"/>
        </w:rPr>
        <w:t>ème</w:t>
      </w:r>
      <w:r>
        <w:rPr>
          <w:sz w:val="24"/>
        </w:rPr>
        <w:t xml:space="preserve"> vidéo sur les limites de la relance budgétaire.</w:t>
      </w:r>
    </w:p>
    <w:p w:rsidR="003368BD" w:rsidRDefault="001C4449" w:rsidP="003368BD">
      <w:pPr>
        <w:spacing w:after="0"/>
        <w:jc w:val="both"/>
        <w:rPr>
          <w:sz w:val="24"/>
        </w:rPr>
      </w:pPr>
      <w:r>
        <w:rPr>
          <w:sz w:val="24"/>
        </w:rPr>
        <w:t>4. Regarder la 4</w:t>
      </w:r>
      <w:r w:rsidR="003368BD" w:rsidRPr="003368BD">
        <w:rPr>
          <w:sz w:val="24"/>
          <w:vertAlign w:val="superscript"/>
        </w:rPr>
        <w:t>ème</w:t>
      </w:r>
      <w:r w:rsidR="003368BD">
        <w:rPr>
          <w:sz w:val="24"/>
        </w:rPr>
        <w:t xml:space="preserve"> vidéo sur la rigueur budgétaire</w:t>
      </w:r>
    </w:p>
    <w:p w:rsidR="003368BD" w:rsidRDefault="003368BD" w:rsidP="003368BD">
      <w:pPr>
        <w:spacing w:after="0"/>
        <w:jc w:val="both"/>
        <w:rPr>
          <w:sz w:val="24"/>
        </w:rPr>
      </w:pPr>
    </w:p>
    <w:p w:rsidR="003368BD" w:rsidRDefault="003368BD" w:rsidP="003368BD">
      <w:pPr>
        <w:jc w:val="both"/>
        <w:rPr>
          <w:b/>
          <w:color w:val="5B9BD5" w:themeColor="accent1"/>
          <w:sz w:val="32"/>
          <w:u w:val="single"/>
        </w:rPr>
      </w:pPr>
      <w:r>
        <w:rPr>
          <w:b/>
          <w:color w:val="5B9BD5" w:themeColor="accent1"/>
          <w:sz w:val="32"/>
          <w:u w:val="single"/>
        </w:rPr>
        <w:t>Etape 2</w:t>
      </w:r>
      <w:r w:rsidRPr="0063574A">
        <w:rPr>
          <w:b/>
          <w:color w:val="5B9BD5" w:themeColor="accent1"/>
          <w:sz w:val="32"/>
          <w:u w:val="single"/>
        </w:rPr>
        <w:t xml:space="preserve"> : </w:t>
      </w:r>
      <w:r>
        <w:rPr>
          <w:b/>
          <w:color w:val="5B9BD5" w:themeColor="accent1"/>
          <w:sz w:val="32"/>
          <w:u w:val="single"/>
        </w:rPr>
        <w:t>mise en activité des élèves en classe</w:t>
      </w:r>
      <w:r w:rsidR="00E13A46" w:rsidRPr="00E13A46">
        <w:rPr>
          <w:b/>
          <w:color w:val="5B9BD5" w:themeColor="accent1"/>
        </w:rPr>
        <w:t xml:space="preserve"> (par groupe de trois)</w:t>
      </w:r>
    </w:p>
    <w:p w:rsidR="003368BD" w:rsidRPr="00E13A46" w:rsidRDefault="003368BD" w:rsidP="003368BD">
      <w:pPr>
        <w:jc w:val="both"/>
        <w:rPr>
          <w:b/>
          <w:sz w:val="26"/>
          <w:szCs w:val="26"/>
        </w:rPr>
      </w:pPr>
      <w:r w:rsidRPr="00E13A46">
        <w:rPr>
          <w:b/>
          <w:sz w:val="26"/>
          <w:szCs w:val="26"/>
        </w:rPr>
        <w:t xml:space="preserve">Vous êtes </w:t>
      </w:r>
      <w:proofErr w:type="gramStart"/>
      <w:r w:rsidRPr="00E13A46">
        <w:rPr>
          <w:b/>
          <w:sz w:val="26"/>
          <w:szCs w:val="26"/>
        </w:rPr>
        <w:t>conseiller</w:t>
      </w:r>
      <w:proofErr w:type="gramEnd"/>
      <w:r w:rsidRPr="00E13A46">
        <w:rPr>
          <w:b/>
          <w:sz w:val="26"/>
          <w:szCs w:val="26"/>
        </w:rPr>
        <w:t xml:space="preserve"> du ministre de l’économie en France, en 1975. Allez-vous lui </w:t>
      </w:r>
      <w:r w:rsidR="00E13A46" w:rsidRPr="00E13A46">
        <w:rPr>
          <w:b/>
          <w:sz w:val="26"/>
          <w:szCs w:val="26"/>
        </w:rPr>
        <w:t xml:space="preserve">proposer </w:t>
      </w:r>
      <w:r w:rsidRPr="00E13A46">
        <w:rPr>
          <w:b/>
          <w:sz w:val="26"/>
          <w:szCs w:val="26"/>
        </w:rPr>
        <w:t>de mettre en place une relance budgétaire ?</w:t>
      </w:r>
    </w:p>
    <w:p w:rsidR="003368BD" w:rsidRDefault="003368BD" w:rsidP="003368BD">
      <w:pPr>
        <w:spacing w:after="0"/>
        <w:jc w:val="both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371C014E" wp14:editId="39083532">
            <wp:extent cx="5760720" cy="3295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8BD" w:rsidRDefault="00E13A46" w:rsidP="00820135">
      <w:pPr>
        <w:jc w:val="center"/>
        <w:rPr>
          <w:sz w:val="24"/>
          <w:szCs w:val="24"/>
          <w:u w:val="single"/>
        </w:rPr>
      </w:pPr>
      <w:r w:rsidRPr="00E13A46">
        <w:rPr>
          <w:sz w:val="24"/>
          <w:szCs w:val="24"/>
          <w:u w:val="single"/>
        </w:rPr>
        <w:lastRenderedPageBreak/>
        <w:t>Source </w:t>
      </w:r>
      <w:r w:rsidRPr="00E13A46">
        <w:rPr>
          <w:sz w:val="24"/>
          <w:szCs w:val="24"/>
        </w:rPr>
        <w:t xml:space="preserve">: Insee et Banque de France. Site SES de l’académie de Versailles. </w:t>
      </w:r>
      <w:r w:rsidRPr="00E13A46">
        <w:rPr>
          <w:sz w:val="24"/>
          <w:szCs w:val="24"/>
          <w:u w:val="single"/>
        </w:rPr>
        <w:t xml:space="preserve"> </w:t>
      </w:r>
    </w:p>
    <w:p w:rsidR="00E13A46" w:rsidRPr="001B3D0D" w:rsidRDefault="00E13A46" w:rsidP="00707000">
      <w:pPr>
        <w:ind w:left="1416" w:firstLine="708"/>
        <w:rPr>
          <w:b/>
          <w:sz w:val="26"/>
          <w:szCs w:val="26"/>
          <w:u w:val="single"/>
        </w:rPr>
      </w:pPr>
      <w:r w:rsidRPr="001B3D0D">
        <w:rPr>
          <w:b/>
          <w:sz w:val="26"/>
          <w:szCs w:val="26"/>
          <w:u w:val="single"/>
        </w:rPr>
        <w:t>Grille d’autoévaluation du groupe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721"/>
        <w:gridCol w:w="721"/>
        <w:gridCol w:w="721"/>
      </w:tblGrid>
      <w:tr w:rsidR="00707000" w:rsidTr="001D1A44">
        <w:tc>
          <w:tcPr>
            <w:tcW w:w="5228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bCs/>
              </w:rPr>
              <w:t>Capacités et connaissances évaluées</w:t>
            </w:r>
          </w:p>
        </w:tc>
        <w:tc>
          <w:tcPr>
            <w:tcW w:w="721" w:type="dxa"/>
          </w:tcPr>
          <w:p w:rsidR="00707000" w:rsidRDefault="00707000" w:rsidP="00707000">
            <w:pPr>
              <w:pStyle w:val="TableContents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21" w:type="dxa"/>
          </w:tcPr>
          <w:p w:rsidR="00707000" w:rsidRDefault="00707000" w:rsidP="00707000">
            <w:pPr>
              <w:pStyle w:val="TableContents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ECA</w:t>
            </w:r>
          </w:p>
        </w:tc>
        <w:tc>
          <w:tcPr>
            <w:tcW w:w="721" w:type="dxa"/>
          </w:tcPr>
          <w:p w:rsidR="00707000" w:rsidRDefault="00707000" w:rsidP="00707000">
            <w:pPr>
              <w:pStyle w:val="TableContents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NA</w:t>
            </w:r>
          </w:p>
        </w:tc>
      </w:tr>
      <w:tr w:rsidR="00707000" w:rsidTr="001D1A44">
        <w:tc>
          <w:tcPr>
            <w:tcW w:w="5228" w:type="dxa"/>
          </w:tcPr>
          <w:p w:rsidR="00707000" w:rsidRDefault="00707000" w:rsidP="00707000">
            <w:pPr>
              <w:pStyle w:val="TableContents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Nous avons répondu à la question</w:t>
            </w: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07000" w:rsidTr="001D1A44">
        <w:tc>
          <w:tcPr>
            <w:tcW w:w="5228" w:type="dxa"/>
          </w:tcPr>
          <w:p w:rsidR="00707000" w:rsidRDefault="00707000" w:rsidP="00707000">
            <w:pPr>
              <w:pStyle w:val="TableContents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Nous avons extrait des informations pertinentes du document pour répondre à la question</w:t>
            </w: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07000" w:rsidTr="001D1A44">
        <w:tc>
          <w:tcPr>
            <w:tcW w:w="5228" w:type="dxa"/>
          </w:tcPr>
          <w:p w:rsidR="00707000" w:rsidRDefault="00707000" w:rsidP="00707000">
            <w:pPr>
              <w:pStyle w:val="TableContents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Nous avons rédigé en utilisant un vocabulaire économique approprié et spécifique</w:t>
            </w: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07000" w:rsidTr="001D1A44">
        <w:tc>
          <w:tcPr>
            <w:tcW w:w="5228" w:type="dxa"/>
          </w:tcPr>
          <w:p w:rsidR="00707000" w:rsidRDefault="00707000" w:rsidP="00707000">
            <w:pPr>
              <w:pStyle w:val="TableContents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Nous avons mobilisé des mécanismes abordés dans les vidéos</w:t>
            </w: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07000" w:rsidTr="001D1A44">
        <w:tc>
          <w:tcPr>
            <w:tcW w:w="5228" w:type="dxa"/>
          </w:tcPr>
          <w:p w:rsidR="00707000" w:rsidRDefault="00707000" w:rsidP="00707000">
            <w:pPr>
              <w:pStyle w:val="TableContents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Nous avons organisé et hiérarchisé nos idées</w:t>
            </w: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07000" w:rsidTr="001D1A44">
        <w:tc>
          <w:tcPr>
            <w:tcW w:w="5228" w:type="dxa"/>
          </w:tcPr>
          <w:p w:rsidR="00707000" w:rsidRDefault="00707000" w:rsidP="00707000">
            <w:pPr>
              <w:pStyle w:val="TableContents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Nous avons été attentifs à l'expression écrite et à l'orthographe</w:t>
            </w: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707000" w:rsidRDefault="00707000" w:rsidP="0070700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E13A46" w:rsidRDefault="00E13A46" w:rsidP="00820135">
      <w:pPr>
        <w:jc w:val="center"/>
        <w:rPr>
          <w:sz w:val="24"/>
          <w:szCs w:val="24"/>
          <w:u w:val="single"/>
        </w:rPr>
      </w:pPr>
    </w:p>
    <w:p w:rsidR="00707000" w:rsidRDefault="00707000" w:rsidP="00707000">
      <w:pPr>
        <w:pStyle w:val="Standard"/>
        <w:spacing w:before="28"/>
        <w:jc w:val="center"/>
        <w:rPr>
          <w:rFonts w:ascii="Times" w:hAnsi="Times" w:cs="Times New Roman"/>
          <w:b/>
          <w:bCs/>
          <w:sz w:val="26"/>
          <w:szCs w:val="26"/>
        </w:rPr>
      </w:pPr>
    </w:p>
    <w:p w:rsidR="009C69CC" w:rsidRDefault="009C69CC" w:rsidP="00707000">
      <w:pPr>
        <w:pStyle w:val="Standard"/>
        <w:spacing w:before="28"/>
        <w:jc w:val="center"/>
        <w:rPr>
          <w:rFonts w:ascii="Times" w:hAnsi="Times" w:cs="Times New Roman"/>
          <w:b/>
          <w:bCs/>
          <w:sz w:val="26"/>
          <w:szCs w:val="26"/>
        </w:rPr>
      </w:pPr>
    </w:p>
    <w:p w:rsidR="00707000" w:rsidRPr="001B3D0D" w:rsidRDefault="00707000" w:rsidP="00820135">
      <w:pPr>
        <w:jc w:val="center"/>
        <w:rPr>
          <w:b/>
          <w:sz w:val="28"/>
          <w:szCs w:val="28"/>
          <w:u w:val="single"/>
        </w:rPr>
      </w:pPr>
      <w:r w:rsidRPr="001B3D0D">
        <w:rPr>
          <w:b/>
          <w:sz w:val="28"/>
          <w:szCs w:val="28"/>
          <w:u w:val="single"/>
        </w:rPr>
        <w:t>COUP DE POUCE</w:t>
      </w:r>
    </w:p>
    <w:p w:rsidR="00707000" w:rsidRPr="00615844" w:rsidRDefault="00615844" w:rsidP="00615844">
      <w:pPr>
        <w:rPr>
          <w:sz w:val="24"/>
          <w:szCs w:val="24"/>
        </w:rPr>
      </w:pPr>
      <w:r>
        <w:rPr>
          <w:sz w:val="24"/>
          <w:szCs w:val="24"/>
        </w:rPr>
        <w:t>Dans une logique de gestion de l’hétérogénéité, ce</w:t>
      </w:r>
      <w:r w:rsidRPr="00615844">
        <w:rPr>
          <w:sz w:val="24"/>
          <w:szCs w:val="24"/>
        </w:rPr>
        <w:t xml:space="preserve">s documents seront proposés </w:t>
      </w:r>
      <w:r>
        <w:rPr>
          <w:sz w:val="24"/>
          <w:szCs w:val="24"/>
        </w:rPr>
        <w:t xml:space="preserve">à certains groupes en fonction de leurs difficultés. </w:t>
      </w:r>
    </w:p>
    <w:p w:rsidR="009C69CC" w:rsidRDefault="009C69CC" w:rsidP="00442970">
      <w:pPr>
        <w:rPr>
          <w:sz w:val="24"/>
          <w:szCs w:val="24"/>
          <w:u w:val="single"/>
        </w:rPr>
      </w:pPr>
    </w:p>
    <w:p w:rsidR="00707000" w:rsidRDefault="00442970" w:rsidP="0044297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Document 1 :</w:t>
      </w:r>
    </w:p>
    <w:p w:rsidR="00442970" w:rsidRDefault="00442970" w:rsidP="00442970">
      <w:pPr>
        <w:rPr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765D0E0D" wp14:editId="37E56C67">
            <wp:extent cx="5524500" cy="4800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CC" w:rsidRDefault="009C69CC" w:rsidP="00442970">
      <w:pPr>
        <w:rPr>
          <w:sz w:val="24"/>
          <w:szCs w:val="24"/>
          <w:u w:val="single"/>
        </w:rPr>
      </w:pPr>
    </w:p>
    <w:p w:rsidR="009C69CC" w:rsidRDefault="009C69CC" w:rsidP="00442970">
      <w:pPr>
        <w:rPr>
          <w:sz w:val="24"/>
          <w:szCs w:val="24"/>
          <w:u w:val="single"/>
        </w:rPr>
      </w:pPr>
    </w:p>
    <w:p w:rsidR="009C69CC" w:rsidRDefault="009C69CC" w:rsidP="00442970">
      <w:pPr>
        <w:rPr>
          <w:sz w:val="24"/>
          <w:szCs w:val="24"/>
          <w:u w:val="single"/>
        </w:rPr>
      </w:pPr>
    </w:p>
    <w:p w:rsidR="00442970" w:rsidRDefault="00442970" w:rsidP="0044297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Document 2 : </w:t>
      </w:r>
    </w:p>
    <w:p w:rsidR="00442970" w:rsidRDefault="00442970" w:rsidP="00442970">
      <w:pPr>
        <w:rPr>
          <w:sz w:val="24"/>
          <w:szCs w:val="24"/>
          <w:u w:val="single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594A157C" wp14:editId="1745ECE4">
            <wp:extent cx="6477000" cy="27336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970" w:rsidRDefault="00442970" w:rsidP="00442970">
      <w:pPr>
        <w:rPr>
          <w:sz w:val="24"/>
          <w:szCs w:val="24"/>
          <w:u w:val="single"/>
        </w:rPr>
      </w:pPr>
    </w:p>
    <w:p w:rsidR="009C69CC" w:rsidRDefault="009C69CC" w:rsidP="0044297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Document 3 : </w:t>
      </w:r>
    </w:p>
    <w:p w:rsidR="009C69CC" w:rsidRDefault="009C69CC" w:rsidP="00442970">
      <w:pPr>
        <w:rPr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0C114177" wp14:editId="58C8F2EB">
            <wp:extent cx="5114925" cy="26479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CC" w:rsidRPr="009C69CC" w:rsidRDefault="009C69CC" w:rsidP="00442970">
      <w:pPr>
        <w:rPr>
          <w:sz w:val="24"/>
          <w:szCs w:val="24"/>
        </w:rPr>
      </w:pPr>
      <w:r>
        <w:rPr>
          <w:sz w:val="24"/>
          <w:szCs w:val="24"/>
        </w:rPr>
        <w:t xml:space="preserve">Source : </w:t>
      </w:r>
      <w:r w:rsidRPr="009C69CC">
        <w:rPr>
          <w:sz w:val="24"/>
          <w:szCs w:val="24"/>
        </w:rPr>
        <w:t xml:space="preserve">A partir du manuel de Première ES – SES – Belin. Avril 2015. </w:t>
      </w:r>
    </w:p>
    <w:sectPr w:rsidR="009C69CC" w:rsidRPr="009C69CC" w:rsidSect="00E13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4BE"/>
    <w:multiLevelType w:val="hybridMultilevel"/>
    <w:tmpl w:val="54BC3D20"/>
    <w:lvl w:ilvl="0" w:tplc="67BE477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9E7DE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C67B6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96B7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2E0B8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BA301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36543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36EDA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90E17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884F0A"/>
    <w:multiLevelType w:val="hybridMultilevel"/>
    <w:tmpl w:val="03288D94"/>
    <w:lvl w:ilvl="0" w:tplc="125CC0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54DFC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4E5FE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605B1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58D4C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FC351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AABD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4EDF6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DAF44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B01A8C"/>
    <w:multiLevelType w:val="hybridMultilevel"/>
    <w:tmpl w:val="3F82D7F6"/>
    <w:lvl w:ilvl="0" w:tplc="974229F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6C113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B6BC7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76F27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4CE6D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F671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BE61C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452F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D4D66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50C7B3B"/>
    <w:multiLevelType w:val="hybridMultilevel"/>
    <w:tmpl w:val="CDB4FC76"/>
    <w:lvl w:ilvl="0" w:tplc="F72AA3A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0660C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98B15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2874C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22CB5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BA61C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98D05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D86BF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EBAE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35"/>
    <w:rsid w:val="00006E51"/>
    <w:rsid w:val="001B3D0D"/>
    <w:rsid w:val="001C4449"/>
    <w:rsid w:val="00222FAF"/>
    <w:rsid w:val="003368BD"/>
    <w:rsid w:val="00442970"/>
    <w:rsid w:val="00615844"/>
    <w:rsid w:val="0069292E"/>
    <w:rsid w:val="00707000"/>
    <w:rsid w:val="00820135"/>
    <w:rsid w:val="009C69CC"/>
    <w:rsid w:val="00B324A3"/>
    <w:rsid w:val="00B37C2E"/>
    <w:rsid w:val="00C731F7"/>
    <w:rsid w:val="00CF4AF3"/>
    <w:rsid w:val="00E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D0ED-5658-4101-B9C1-6DFC5336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0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707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70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38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30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09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82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duclos</dc:creator>
  <cp:keywords/>
  <dc:description/>
  <cp:lastModifiedBy>eric duclos</cp:lastModifiedBy>
  <cp:revision>13</cp:revision>
  <dcterms:created xsi:type="dcterms:W3CDTF">2016-04-19T10:01:00Z</dcterms:created>
  <dcterms:modified xsi:type="dcterms:W3CDTF">2016-04-20T19:52:00Z</dcterms:modified>
</cp:coreProperties>
</file>