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6D38" w:rsidRDefault="00196D38" w:rsidP="00196D38">
      <w:r w:rsidRPr="00196D38">
        <w:rPr>
          <w:b/>
          <w:bCs/>
        </w:rPr>
        <w:t>Exemples d’expériences transdisciplinaires déjà me</w:t>
      </w:r>
      <w:r w:rsidRPr="00196D38">
        <w:rPr>
          <w:b/>
          <w:bCs/>
        </w:rPr>
        <w:t>nées dans les établissements du 64</w:t>
      </w:r>
    </w:p>
    <w:p w:rsidR="00196D38" w:rsidRPr="00196D38" w:rsidRDefault="00196D38" w:rsidP="00196D38">
      <w:r w:rsidRPr="00196D38">
        <w:rPr>
          <w:b/>
          <w:bCs/>
        </w:rPr>
        <w:t xml:space="preserve">Par les lycées Louis de Foix et René Cassin de Bayonne  </w:t>
      </w:r>
      <w:r w:rsidRPr="00196D38">
        <w:rPr>
          <w:i/>
          <w:iCs/>
        </w:rPr>
        <w:t xml:space="preserve">(Anne </w:t>
      </w:r>
      <w:proofErr w:type="spellStart"/>
      <w:r w:rsidRPr="00196D38">
        <w:rPr>
          <w:i/>
          <w:iCs/>
        </w:rPr>
        <w:t>Jothy</w:t>
      </w:r>
      <w:proofErr w:type="spellEnd"/>
      <w:r w:rsidRPr="00196D38">
        <w:rPr>
          <w:i/>
          <w:iCs/>
        </w:rPr>
        <w:t xml:space="preserve">, Professeur-Documentaliste, Frédéric </w:t>
      </w:r>
      <w:proofErr w:type="spellStart"/>
      <w:r w:rsidRPr="00196D38">
        <w:rPr>
          <w:i/>
          <w:iCs/>
        </w:rPr>
        <w:t>Faupier</w:t>
      </w:r>
      <w:proofErr w:type="spellEnd"/>
      <w:r w:rsidRPr="00196D38">
        <w:rPr>
          <w:i/>
          <w:iCs/>
        </w:rPr>
        <w:t xml:space="preserve"> et Jean-François Pâques, Professeurs de  Philosophie, Françoise </w:t>
      </w:r>
      <w:proofErr w:type="spellStart"/>
      <w:r w:rsidRPr="00196D38">
        <w:rPr>
          <w:i/>
          <w:iCs/>
        </w:rPr>
        <w:t>Sasco</w:t>
      </w:r>
      <w:proofErr w:type="spellEnd"/>
      <w:r w:rsidRPr="00196D38">
        <w:rPr>
          <w:i/>
          <w:iCs/>
        </w:rPr>
        <w:t xml:space="preserve">, Professeur de SES) </w:t>
      </w:r>
      <w:r w:rsidRPr="00196D38">
        <w:rPr>
          <w:b/>
          <w:bCs/>
          <w:i/>
          <w:iCs/>
        </w:rPr>
        <w:t xml:space="preserve">  </w:t>
      </w:r>
      <w:r w:rsidRPr="00196D38">
        <w:rPr>
          <w:b/>
          <w:bCs/>
        </w:rPr>
        <w:t>: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</w:rPr>
        <w:t>Un partenari</w:t>
      </w:r>
      <w:r w:rsidRPr="00196D38">
        <w:rPr>
          <w:b/>
          <w:bCs/>
        </w:rPr>
        <w:t>at entre CDI et SCD (</w:t>
      </w:r>
      <w:r w:rsidRPr="00196D38">
        <w:rPr>
          <w:i/>
          <w:iCs/>
        </w:rPr>
        <w:t>Service commun de la documentation de l’université )</w:t>
      </w:r>
      <w:r w:rsidRPr="00196D38">
        <w:rPr>
          <w:b/>
          <w:bCs/>
        </w:rPr>
        <w:t xml:space="preserve"> pour préparer l’entrée à l’université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</w:rPr>
        <w:t xml:space="preserve">Pour un continuum documentaire du lycée à l’université : </w:t>
      </w:r>
      <w:r w:rsidRPr="00196D38">
        <w:rPr>
          <w:i/>
          <w:iCs/>
        </w:rPr>
        <w:t>faciliter la compréhension de l’environnement de travail de l’université</w:t>
      </w:r>
      <w:r w:rsidRPr="00196D38">
        <w:t xml:space="preserve"> 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</w:rPr>
        <w:t>Modalités d</w:t>
      </w:r>
      <w:r w:rsidRPr="00196D38">
        <w:rPr>
          <w:b/>
          <w:bCs/>
        </w:rPr>
        <w:t xml:space="preserve">e l’action : 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1134"/>
        </w:tabs>
        <w:ind w:firstLine="131"/>
        <w:rPr>
          <w:sz w:val="20"/>
          <w:szCs w:val="20"/>
        </w:rPr>
      </w:pPr>
      <w:r w:rsidRPr="00196D38">
        <w:rPr>
          <w:sz w:val="20"/>
          <w:szCs w:val="20"/>
        </w:rPr>
        <w:t xml:space="preserve">De multiples échanges entre professeurs-documentalistes de deux lycées  Bayonnais (Lycée Louis de Foix et Lycée René Cassin) et la conservatrice de la Bibliothèque de Bayonne Florence Delay de </w:t>
      </w:r>
      <w:r w:rsidRPr="00196D38">
        <w:rPr>
          <w:sz w:val="20"/>
          <w:szCs w:val="20"/>
        </w:rPr>
        <w:t>l’Université de Pau et des Pays de l'Adour, ont permis la mise en place d’un projet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1134"/>
        </w:tabs>
        <w:ind w:firstLine="131"/>
        <w:rPr>
          <w:sz w:val="20"/>
          <w:szCs w:val="20"/>
        </w:rPr>
      </w:pPr>
      <w:r w:rsidRPr="00196D38">
        <w:rPr>
          <w:b/>
          <w:bCs/>
          <w:sz w:val="20"/>
          <w:szCs w:val="20"/>
        </w:rPr>
        <w:t xml:space="preserve">Une convention </w:t>
      </w:r>
      <w:r w:rsidRPr="00196D38">
        <w:rPr>
          <w:sz w:val="20"/>
          <w:szCs w:val="20"/>
        </w:rPr>
        <w:t xml:space="preserve">a été rédigée et signée par l’université et les deux lycées Bayonnais permettant ainsi aux lycéens de Terminale (2 classes de Terminale ES) d’être inscrits </w:t>
      </w:r>
      <w:r w:rsidRPr="00196D38">
        <w:rPr>
          <w:sz w:val="20"/>
          <w:szCs w:val="20"/>
        </w:rPr>
        <w:t>gratuitement à la bibliothèque universitaire et de disposer de codes d’accès leur permettant de consulter l’ensemble des  ressources numériques disponibles sur l’ENT de l’université</w:t>
      </w:r>
      <w:r w:rsidRPr="00196D38">
        <w:rPr>
          <w:sz w:val="20"/>
          <w:szCs w:val="20"/>
        </w:rPr>
        <w:t>.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1134"/>
        </w:tabs>
        <w:ind w:firstLine="131"/>
        <w:rPr>
          <w:sz w:val="20"/>
          <w:szCs w:val="20"/>
        </w:rPr>
      </w:pPr>
      <w:r w:rsidRPr="00196D38">
        <w:rPr>
          <w:sz w:val="20"/>
          <w:szCs w:val="20"/>
        </w:rPr>
        <w:t>Les lycéens ont été accompagnés dans leurs travaux par une équipe plurid</w:t>
      </w:r>
      <w:r w:rsidRPr="00196D38">
        <w:rPr>
          <w:sz w:val="20"/>
          <w:szCs w:val="20"/>
        </w:rPr>
        <w:t>isciplinaire de professeurs : professeur-documentaliste, professeur de philosophie, professeur d’histoire-géographie professeur de SES.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  <w:u w:val="single"/>
        </w:rPr>
        <w:t xml:space="preserve">Les objectifs : 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993"/>
        </w:tabs>
        <w:ind w:firstLine="273"/>
        <w:rPr>
          <w:sz w:val="20"/>
          <w:szCs w:val="20"/>
        </w:rPr>
      </w:pPr>
      <w:r w:rsidRPr="00196D38">
        <w:rPr>
          <w:sz w:val="20"/>
          <w:szCs w:val="20"/>
        </w:rPr>
        <w:t>Familiariser les élèves de terminale aux espaces documentaires de la bibliothèque universitaire,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993"/>
        </w:tabs>
        <w:ind w:firstLine="273"/>
        <w:rPr>
          <w:sz w:val="20"/>
          <w:szCs w:val="20"/>
        </w:rPr>
      </w:pPr>
      <w:r w:rsidRPr="00196D38">
        <w:rPr>
          <w:sz w:val="20"/>
          <w:szCs w:val="20"/>
        </w:rPr>
        <w:t>Acq</w:t>
      </w:r>
      <w:r w:rsidRPr="00196D38">
        <w:rPr>
          <w:sz w:val="20"/>
          <w:szCs w:val="20"/>
        </w:rPr>
        <w:t>uérir les codes de l’enseignement supérieur (terminologie, modalités d’organisation)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993"/>
        </w:tabs>
        <w:ind w:firstLine="273"/>
        <w:rPr>
          <w:sz w:val="20"/>
          <w:szCs w:val="20"/>
        </w:rPr>
      </w:pPr>
      <w:r w:rsidRPr="00196D38">
        <w:rPr>
          <w:sz w:val="20"/>
          <w:szCs w:val="20"/>
        </w:rPr>
        <w:t>Identifier et localiser les ressources documentaires à la BU</w:t>
      </w:r>
    </w:p>
    <w:p w:rsidR="00000000" w:rsidRPr="00196D38" w:rsidRDefault="00196D38" w:rsidP="00196D38">
      <w:pPr>
        <w:numPr>
          <w:ilvl w:val="0"/>
          <w:numId w:val="2"/>
        </w:numPr>
        <w:tabs>
          <w:tab w:val="clear" w:pos="720"/>
          <w:tab w:val="num" w:pos="993"/>
        </w:tabs>
        <w:ind w:firstLine="273"/>
      </w:pPr>
      <w:r w:rsidRPr="00196D38">
        <w:rPr>
          <w:sz w:val="20"/>
          <w:szCs w:val="20"/>
        </w:rPr>
        <w:t>Consulter des ressources électroniques (bases de références bibliographiques, bases documentaires en texte i</w:t>
      </w:r>
      <w:r w:rsidRPr="00196D38">
        <w:rPr>
          <w:sz w:val="20"/>
          <w:szCs w:val="20"/>
        </w:rPr>
        <w:t>ntégral</w:t>
      </w:r>
      <w:r w:rsidRPr="00196D38">
        <w:t>)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</w:rPr>
        <w:t xml:space="preserve">Détails de la mise en œuvre du projet </w:t>
      </w:r>
    </w:p>
    <w:p w:rsidR="00000000" w:rsidRPr="00196D38" w:rsidRDefault="00196D38" w:rsidP="00196D38">
      <w:pPr>
        <w:numPr>
          <w:ilvl w:val="0"/>
          <w:numId w:val="2"/>
        </w:numPr>
      </w:pPr>
      <w:r w:rsidRPr="00196D38">
        <w:rPr>
          <w:b/>
          <w:bCs/>
        </w:rPr>
        <w:t xml:space="preserve">A partir d'un thème commun à plusieurs disciplines, les élèves ont mené un travail de recherche en groupes : </w:t>
      </w:r>
    </w:p>
    <w:p w:rsidR="00196D38" w:rsidRPr="00196D38" w:rsidRDefault="00196D38" w:rsidP="00196D38">
      <w:r w:rsidRPr="00196D38">
        <w:tab/>
        <w:t xml:space="preserve">- définition d’un sujet, </w:t>
      </w:r>
    </w:p>
    <w:p w:rsidR="00196D38" w:rsidRPr="00196D38" w:rsidRDefault="00196D38" w:rsidP="00196D38">
      <w:r w:rsidRPr="00196D38">
        <w:tab/>
        <w:t>- recherche documentaire  sur Aleph, le catalogue de la bibliothèque universitaire, consultation de nombreuses bases de données (bases documentaires en texte intégral comme Alternatives économiques, Cairn….),</w:t>
      </w:r>
    </w:p>
    <w:p w:rsidR="00196D38" w:rsidRPr="00196D38" w:rsidRDefault="00196D38" w:rsidP="00196D38">
      <w:r w:rsidRPr="00196D38">
        <w:tab/>
        <w:t>- restitution orale de leurs travaux avec obligation de bibliographies.</w:t>
      </w:r>
    </w:p>
    <w:p w:rsidR="00000000" w:rsidRPr="00196D38" w:rsidRDefault="00196D38" w:rsidP="00196D38">
      <w:pPr>
        <w:numPr>
          <w:ilvl w:val="0"/>
          <w:numId w:val="3"/>
        </w:numPr>
      </w:pPr>
      <w:r w:rsidRPr="00196D38">
        <w:rPr>
          <w:b/>
          <w:bCs/>
        </w:rPr>
        <w:t>Prolongement du projet Lycée/BU</w:t>
      </w:r>
    </w:p>
    <w:p w:rsidR="00196D38" w:rsidRPr="00196D38" w:rsidRDefault="00196D38" w:rsidP="00196D38">
      <w:r w:rsidRPr="00196D38">
        <w:rPr>
          <w:b/>
          <w:bCs/>
          <w:i/>
          <w:iCs/>
        </w:rPr>
        <w:t>De la bibliothèque universitaire à l’amphithéâtre</w:t>
      </w:r>
      <w:r w:rsidRPr="00196D38">
        <w:rPr>
          <w:b/>
          <w:bCs/>
        </w:rPr>
        <w:t xml:space="preserve"> </w:t>
      </w:r>
    </w:p>
    <w:p w:rsidR="00000000" w:rsidRPr="00196D38" w:rsidRDefault="00196D38" w:rsidP="00196D38">
      <w:pPr>
        <w:numPr>
          <w:ilvl w:val="0"/>
          <w:numId w:val="4"/>
        </w:numPr>
      </w:pPr>
      <w:r w:rsidRPr="00196D38">
        <w:t xml:space="preserve">Grâce à un contact personnel d’une maître de conférence donné par une élève de terminale, lycéens et professeurs ont eu l’opportunité d’assister à un cours de droit : Université de </w:t>
      </w:r>
      <w:r w:rsidRPr="00196D38">
        <w:t xml:space="preserve">Bayonne,1ère année de licence, cours magistral sur les évolutions contemporaines de la famille assuré par Michèle </w:t>
      </w:r>
      <w:proofErr w:type="spellStart"/>
      <w:r w:rsidRPr="00196D38">
        <w:t>Mestrot</w:t>
      </w:r>
      <w:proofErr w:type="spellEnd"/>
      <w:r w:rsidRPr="00196D38">
        <w:t>.</w:t>
      </w:r>
    </w:p>
    <w:p w:rsidR="00000000" w:rsidRPr="00196D38" w:rsidRDefault="00196D38" w:rsidP="00196D38">
      <w:pPr>
        <w:numPr>
          <w:ilvl w:val="0"/>
          <w:numId w:val="4"/>
        </w:numPr>
      </w:pPr>
      <w:r w:rsidRPr="00196D38">
        <w:t>La prise de note a été travaillée en amont par les élèves avec leurs professeurs dans le cadre de l’accompagnement personnalisé.</w:t>
      </w:r>
    </w:p>
    <w:sectPr w:rsidR="00000000" w:rsidRPr="00196D38" w:rsidSect="00196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C74"/>
    <w:multiLevelType w:val="hybridMultilevel"/>
    <w:tmpl w:val="C532AA4A"/>
    <w:lvl w:ilvl="0" w:tplc="7CC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0C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E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A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26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83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2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B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20529DE"/>
    <w:multiLevelType w:val="hybridMultilevel"/>
    <w:tmpl w:val="CD6AF3AC"/>
    <w:lvl w:ilvl="0" w:tplc="91923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A1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48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A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6C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E9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6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44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C6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785893"/>
    <w:multiLevelType w:val="hybridMultilevel"/>
    <w:tmpl w:val="9A346496"/>
    <w:lvl w:ilvl="0" w:tplc="4222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EF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4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85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0C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0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0B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6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89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5A35193"/>
    <w:multiLevelType w:val="hybridMultilevel"/>
    <w:tmpl w:val="8BB882B6"/>
    <w:lvl w:ilvl="0" w:tplc="E6666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EB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F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6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C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81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4A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E3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196D38"/>
    <w:rsid w:val="00057755"/>
    <w:rsid w:val="00196D38"/>
    <w:rsid w:val="00F5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21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1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97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2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2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71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73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5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3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200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2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71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76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Anne-MariePuya</dc:creator>
  <cp:lastModifiedBy>Anne-MariePuya</cp:lastModifiedBy>
  <cp:revision>1</cp:revision>
  <dcterms:created xsi:type="dcterms:W3CDTF">2016-01-10T22:00:00Z</dcterms:created>
  <dcterms:modified xsi:type="dcterms:W3CDTF">2016-01-10T22:02:00Z</dcterms:modified>
</cp:coreProperties>
</file>