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08C16" w14:textId="63BF8A87" w:rsidR="002B6B3E" w:rsidRPr="00C046C9" w:rsidRDefault="1621BAA3" w:rsidP="1621BAA3">
      <w:pPr>
        <w:jc w:val="center"/>
        <w:rPr>
          <w:rFonts w:ascii="Arial" w:hAnsi="Arial" w:cs="Arial"/>
          <w:b/>
          <w:bCs/>
          <w:color w:val="002060"/>
          <w:sz w:val="28"/>
          <w:szCs w:val="28"/>
        </w:rPr>
      </w:pPr>
      <w:r w:rsidRPr="1621BAA3">
        <w:rPr>
          <w:rFonts w:ascii="Arial" w:hAnsi="Arial" w:cs="Arial"/>
          <w:b/>
          <w:bCs/>
          <w:color w:val="002060"/>
          <w:sz w:val="28"/>
          <w:szCs w:val="28"/>
        </w:rPr>
        <w:t xml:space="preserve">Analyse du programme d’enseignement scientifique en </w:t>
      </w:r>
      <w:r w:rsidR="00327CBD">
        <w:rPr>
          <w:rFonts w:ascii="Arial" w:hAnsi="Arial" w:cs="Arial"/>
          <w:b/>
          <w:bCs/>
          <w:color w:val="002060"/>
          <w:sz w:val="28"/>
          <w:szCs w:val="28"/>
        </w:rPr>
        <w:t>terminale</w:t>
      </w:r>
    </w:p>
    <w:p w14:paraId="1C5016CB" w14:textId="04273A9B" w:rsidR="00C046C9" w:rsidRPr="00C046C9" w:rsidRDefault="00C046C9" w:rsidP="00C046C9">
      <w:pPr>
        <w:jc w:val="center"/>
        <w:rPr>
          <w:rFonts w:ascii="Arial" w:hAnsi="Arial" w:cs="Arial"/>
          <w:i/>
        </w:rPr>
      </w:pPr>
      <w:r w:rsidRPr="00C046C9">
        <w:rPr>
          <w:rFonts w:ascii="Arial" w:hAnsi="Arial" w:cs="Arial"/>
          <w:i/>
        </w:rPr>
        <w:t xml:space="preserve">Capacités </w:t>
      </w:r>
      <w:r w:rsidR="00327CBD">
        <w:rPr>
          <w:rFonts w:ascii="Arial" w:hAnsi="Arial" w:cs="Arial"/>
          <w:i/>
        </w:rPr>
        <w:t>antérieures</w:t>
      </w:r>
      <w:r w:rsidRPr="00C046C9">
        <w:rPr>
          <w:rFonts w:ascii="Arial" w:hAnsi="Arial" w:cs="Arial"/>
          <w:i/>
        </w:rPr>
        <w:t xml:space="preserve"> re mobilisables, sauts conceptuels en </w:t>
      </w:r>
      <w:r w:rsidR="00327CBD">
        <w:rPr>
          <w:rFonts w:ascii="Arial" w:hAnsi="Arial" w:cs="Arial"/>
          <w:i/>
        </w:rPr>
        <w:t xml:space="preserve">terminale </w:t>
      </w:r>
      <w:r w:rsidRPr="00C046C9">
        <w:rPr>
          <w:rFonts w:ascii="Arial" w:hAnsi="Arial" w:cs="Arial"/>
          <w:i/>
        </w:rPr>
        <w:t>et liens avec les programmes de spécialité</w:t>
      </w:r>
    </w:p>
    <w:p w14:paraId="4EFB9640" w14:textId="24C00066" w:rsidR="000D4261" w:rsidRPr="00C046C9" w:rsidRDefault="000D4261">
      <w:pPr>
        <w:rPr>
          <w:i/>
        </w:rPr>
      </w:pPr>
    </w:p>
    <w:p w14:paraId="74DC1926" w14:textId="3ABDCDAD" w:rsidR="000D4261" w:rsidRDefault="000D4261"/>
    <w:tbl>
      <w:tblPr>
        <w:tblStyle w:val="Grilledutableau"/>
        <w:tblW w:w="14924" w:type="dxa"/>
        <w:tblInd w:w="-572" w:type="dxa"/>
        <w:tblLayout w:type="fixed"/>
        <w:tblLook w:val="04A0" w:firstRow="1" w:lastRow="0" w:firstColumn="1" w:lastColumn="0" w:noHBand="0" w:noVBand="1"/>
      </w:tblPr>
      <w:tblGrid>
        <w:gridCol w:w="2872"/>
        <w:gridCol w:w="3649"/>
        <w:gridCol w:w="2410"/>
        <w:gridCol w:w="2551"/>
        <w:gridCol w:w="3395"/>
        <w:gridCol w:w="47"/>
      </w:tblGrid>
      <w:tr w:rsidR="000D4261" w14:paraId="76732D54" w14:textId="77777777" w:rsidTr="6554EDDE">
        <w:tc>
          <w:tcPr>
            <w:tcW w:w="14924" w:type="dxa"/>
            <w:gridSpan w:val="6"/>
            <w:shd w:val="clear" w:color="auto" w:fill="297C8D"/>
          </w:tcPr>
          <w:p w14:paraId="1D483703" w14:textId="0E5229D6" w:rsidR="000D4261" w:rsidRDefault="00665303">
            <w:bookmarkStart w:id="0" w:name="_Hlk6926384"/>
            <w:r w:rsidRPr="00C00448">
              <w:rPr>
                <w:rFonts w:ascii="Arial" w:hAnsi="Arial" w:cs="Arial"/>
                <w:b/>
                <w:bCs/>
                <w:color w:val="FFFFFF" w:themeColor="background1"/>
                <w:spacing w:val="-1"/>
                <w:w w:val="105"/>
                <w:sz w:val="22"/>
                <w:szCs w:val="22"/>
              </w:rPr>
              <w:t>1</w:t>
            </w:r>
            <w:r w:rsidR="000D4261" w:rsidRPr="00C00448">
              <w:rPr>
                <w:rFonts w:ascii="Arial" w:hAnsi="Arial" w:cs="Arial"/>
                <w:b/>
                <w:bCs/>
                <w:color w:val="FFFFFF" w:themeColor="background1"/>
                <w:spacing w:val="-1"/>
                <w:w w:val="105"/>
                <w:sz w:val="22"/>
                <w:szCs w:val="22"/>
              </w:rPr>
              <w:t xml:space="preserve"> </w:t>
            </w:r>
            <w:r w:rsidRPr="00C00448">
              <w:rPr>
                <w:rFonts w:ascii="Arial" w:hAnsi="Arial" w:cs="Arial"/>
                <w:b/>
                <w:bCs/>
                <w:color w:val="FFFFFF" w:themeColor="background1"/>
                <w:spacing w:val="-1"/>
                <w:w w:val="105"/>
                <w:sz w:val="22"/>
                <w:szCs w:val="22"/>
              </w:rPr>
              <w:t>–</w:t>
            </w:r>
            <w:r w:rsidR="000D4261" w:rsidRPr="00C00448">
              <w:rPr>
                <w:rFonts w:ascii="Arial" w:hAnsi="Arial" w:cs="Arial"/>
                <w:b/>
                <w:bCs/>
                <w:color w:val="FFFFFF" w:themeColor="background1"/>
                <w:spacing w:val="-1"/>
                <w:w w:val="105"/>
                <w:sz w:val="22"/>
                <w:szCs w:val="22"/>
              </w:rPr>
              <w:t xml:space="preserve"> </w:t>
            </w:r>
            <w:r w:rsidR="00327CBD">
              <w:rPr>
                <w:rFonts w:ascii="Arial" w:hAnsi="Arial" w:cs="Arial"/>
                <w:b/>
                <w:bCs/>
                <w:color w:val="FFFFFF" w:themeColor="background1"/>
                <w:spacing w:val="-1"/>
                <w:w w:val="105"/>
                <w:sz w:val="22"/>
                <w:szCs w:val="22"/>
              </w:rPr>
              <w:t>Science, climat et société</w:t>
            </w:r>
          </w:p>
        </w:tc>
      </w:tr>
      <w:tr w:rsidR="000D4261" w14:paraId="7E943547" w14:textId="77777777" w:rsidTr="6554EDDE">
        <w:tc>
          <w:tcPr>
            <w:tcW w:w="14924" w:type="dxa"/>
            <w:gridSpan w:val="6"/>
          </w:tcPr>
          <w:p w14:paraId="5E3711B1" w14:textId="77777777" w:rsidR="00327CBD" w:rsidRDefault="00665303" w:rsidP="00327CBD">
            <w:pPr>
              <w:spacing w:after="120" w:line="239" w:lineRule="auto"/>
            </w:pPr>
            <w:r>
              <w:rPr>
                <w:sz w:val="22"/>
                <w:szCs w:val="22"/>
              </w:rPr>
              <w:t xml:space="preserve"> </w:t>
            </w:r>
            <w:r w:rsidR="00327CBD">
              <w:rPr>
                <w:i/>
                <w:sz w:val="22"/>
              </w:rPr>
              <w:t xml:space="preserve">L’atmosphère primitive de la Terre était différente de celle d’aujourd’hui. Sa transformation au cours des milliards d’années est liée aux processus géologiques et biologiques. </w:t>
            </w:r>
          </w:p>
          <w:p w14:paraId="01AE9B01" w14:textId="77777777" w:rsidR="00327CBD" w:rsidRDefault="00327CBD" w:rsidP="00327CBD">
            <w:pPr>
              <w:spacing w:after="120" w:line="239" w:lineRule="auto"/>
            </w:pPr>
            <w:r>
              <w:rPr>
                <w:i/>
                <w:sz w:val="22"/>
              </w:rPr>
              <w:t xml:space="preserve">Depuis la révolution industrielle, l’activité humaine modifie de manière significative la composition atmosphérique. Ces modifications affectent l’équilibre dynamique des enveloppes fluides de la Terre.  </w:t>
            </w:r>
          </w:p>
          <w:p w14:paraId="227D37D4" w14:textId="77777777" w:rsidR="00327CBD" w:rsidRDefault="00327CBD" w:rsidP="00327CBD">
            <w:pPr>
              <w:spacing w:line="239" w:lineRule="auto"/>
              <w:ind w:right="51"/>
            </w:pPr>
            <w:r>
              <w:rPr>
                <w:i/>
                <w:sz w:val="22"/>
              </w:rPr>
              <w:t xml:space="preserve">Les conséquences de l’activité humaine sur la composition atmosphérique, celles qui sont déjà observées et celles qui sont prévisibles, sont multiples et importantes, tant pour l’humanité que pour les écosystèmes. Les choix raisonnés des individus et des sociétés dans ce domaine s’appuient sur les apports des sciences et des technologies. </w:t>
            </w:r>
          </w:p>
          <w:p w14:paraId="1A59B57D" w14:textId="60635815" w:rsidR="000D4261" w:rsidRDefault="000D4261" w:rsidP="00665303"/>
        </w:tc>
      </w:tr>
      <w:tr w:rsidR="000D4261" w14:paraId="5F3ADF45" w14:textId="77777777" w:rsidTr="6554EDDE">
        <w:tc>
          <w:tcPr>
            <w:tcW w:w="14924" w:type="dxa"/>
            <w:gridSpan w:val="6"/>
          </w:tcPr>
          <w:p w14:paraId="1F3034F1" w14:textId="77777777" w:rsidR="00327CBD" w:rsidRDefault="00327CBD" w:rsidP="00327CBD">
            <w:pPr>
              <w:spacing w:after="82" w:line="259" w:lineRule="auto"/>
            </w:pPr>
            <w:r>
              <w:rPr>
                <w:b/>
                <w:color w:val="007F9F"/>
              </w:rPr>
              <w:t xml:space="preserve">Histoire, enjeux et débats </w:t>
            </w:r>
          </w:p>
          <w:p w14:paraId="176BD2A0" w14:textId="77777777" w:rsidR="00327CBD" w:rsidRDefault="00327CBD" w:rsidP="00327CBD">
            <w:pPr>
              <w:widowControl/>
              <w:numPr>
                <w:ilvl w:val="0"/>
                <w:numId w:val="8"/>
              </w:numPr>
              <w:kinsoku/>
              <w:spacing w:after="7" w:line="259" w:lineRule="auto"/>
              <w:ind w:hanging="360"/>
            </w:pPr>
            <w:r>
              <w:rPr>
                <w:sz w:val="22"/>
              </w:rPr>
              <w:t>Les enjeux du réchauffement climatique global.</w:t>
            </w:r>
            <w:r>
              <w:rPr>
                <w:color w:val="FF0000"/>
                <w:sz w:val="22"/>
              </w:rPr>
              <w:t xml:space="preserve"> </w:t>
            </w:r>
          </w:p>
          <w:p w14:paraId="1E7C0C22" w14:textId="77777777" w:rsidR="00327CBD" w:rsidRDefault="00327CBD" w:rsidP="00327CBD">
            <w:pPr>
              <w:widowControl/>
              <w:numPr>
                <w:ilvl w:val="0"/>
                <w:numId w:val="8"/>
              </w:numPr>
              <w:kinsoku/>
              <w:spacing w:after="85" w:line="239" w:lineRule="auto"/>
              <w:ind w:hanging="360"/>
            </w:pPr>
            <w:r>
              <w:rPr>
                <w:sz w:val="22"/>
              </w:rPr>
              <w:t xml:space="preserve">Les acteurs des analyses climatiques : recherche et programmes mondiaux (Organisation Météorologique Mondiale, modèles climatiques) ; coordination (Nations-Unies) ; évaluation (Groupe Intergouvernemental pour l’Étude du Climat). </w:t>
            </w:r>
          </w:p>
          <w:p w14:paraId="17EA3D2F" w14:textId="77777777" w:rsidR="00327CBD" w:rsidRDefault="00327CBD" w:rsidP="00327CBD">
            <w:pPr>
              <w:widowControl/>
              <w:numPr>
                <w:ilvl w:val="0"/>
                <w:numId w:val="8"/>
              </w:numPr>
              <w:kinsoku/>
              <w:spacing w:after="7" w:line="259" w:lineRule="auto"/>
              <w:ind w:hanging="360"/>
            </w:pPr>
            <w:r>
              <w:rPr>
                <w:sz w:val="22"/>
              </w:rPr>
              <w:t xml:space="preserve">Un enjeu mondial : l’océan.  </w:t>
            </w:r>
          </w:p>
          <w:p w14:paraId="0A5A6C7D" w14:textId="031F2D41" w:rsidR="00194536" w:rsidRPr="00194536" w:rsidRDefault="6554EDDE" w:rsidP="6554EDDE">
            <w:pPr>
              <w:numPr>
                <w:ilvl w:val="0"/>
                <w:numId w:val="8"/>
              </w:numPr>
              <w:spacing w:before="72" w:after="9" w:line="259" w:lineRule="auto"/>
              <w:ind w:hanging="360"/>
            </w:pPr>
            <w:r w:rsidRPr="6554EDDE">
              <w:rPr>
                <w:sz w:val="22"/>
                <w:szCs w:val="22"/>
              </w:rPr>
              <w:t>Les ressources et les utilisations de l’énergie dans le monde.</w:t>
            </w:r>
            <w:r w:rsidRPr="6554EDDE">
              <w:rPr>
                <w:b/>
                <w:bCs/>
                <w:color w:val="0070C0"/>
                <w:sz w:val="22"/>
                <w:szCs w:val="22"/>
              </w:rPr>
              <w:t xml:space="preserve"> </w:t>
            </w:r>
          </w:p>
          <w:p w14:paraId="251D2FA4" w14:textId="58090123" w:rsidR="00194536" w:rsidRPr="00194536" w:rsidRDefault="6554EDDE" w:rsidP="6554EDDE">
            <w:pPr>
              <w:numPr>
                <w:ilvl w:val="0"/>
                <w:numId w:val="8"/>
              </w:numPr>
              <w:spacing w:before="72" w:after="9" w:line="259" w:lineRule="auto"/>
              <w:ind w:hanging="360"/>
            </w:pPr>
            <w:r w:rsidRPr="6554EDDE">
              <w:rPr>
                <w:sz w:val="22"/>
                <w:szCs w:val="22"/>
              </w:rPr>
              <w:t>Le trou dans la couche d’ozone : de sa découverte à des prises de décisions mondiales</w:t>
            </w:r>
          </w:p>
          <w:p w14:paraId="725C6FD3" w14:textId="02881FF5" w:rsidR="000D4261" w:rsidRPr="007C3388" w:rsidRDefault="000D4261" w:rsidP="007C3388">
            <w:pPr>
              <w:pStyle w:val="Default"/>
              <w:rPr>
                <w:sz w:val="22"/>
                <w:szCs w:val="22"/>
              </w:rPr>
            </w:pPr>
          </w:p>
        </w:tc>
      </w:tr>
      <w:tr w:rsidR="00327CBD" w14:paraId="7653009A" w14:textId="77777777" w:rsidTr="6554EDDE">
        <w:tc>
          <w:tcPr>
            <w:tcW w:w="14924" w:type="dxa"/>
            <w:gridSpan w:val="6"/>
          </w:tcPr>
          <w:p w14:paraId="3D567D7E" w14:textId="77777777" w:rsidR="00327CBD" w:rsidRDefault="00327CBD" w:rsidP="00327CBD">
            <w:pPr>
              <w:spacing w:after="75" w:line="259" w:lineRule="auto"/>
            </w:pPr>
            <w:r>
              <w:rPr>
                <w:b/>
                <w:color w:val="007F9F"/>
              </w:rPr>
              <w:t>1.1 L’atmosphère terrestre et la</w:t>
            </w:r>
            <w:r>
              <w:rPr>
                <w:b/>
                <w:color w:val="0070C0"/>
              </w:rPr>
              <w:t xml:space="preserve"> </w:t>
            </w:r>
            <w:r>
              <w:rPr>
                <w:b/>
                <w:color w:val="007F9F"/>
              </w:rPr>
              <w:t>vie</w:t>
            </w:r>
            <w:r>
              <w:rPr>
                <w:b/>
                <w:color w:val="0070C0"/>
              </w:rPr>
              <w:t xml:space="preserve"> </w:t>
            </w:r>
          </w:p>
          <w:p w14:paraId="3A19322D" w14:textId="77777777" w:rsidR="00327CBD" w:rsidRDefault="00327CBD" w:rsidP="00327CBD">
            <w:pPr>
              <w:spacing w:after="118" w:line="239" w:lineRule="auto"/>
              <w:ind w:right="56"/>
            </w:pPr>
            <w:r>
              <w:rPr>
                <w:i/>
                <w:sz w:val="22"/>
              </w:rPr>
              <w:t xml:space="preserve">Depuis l’époque de sa formation, quasi concomitante avec celle du Soleil et des autres planètes du système solaire, la Terre a connu une évolution spécifique de sa surface et de la composition de son atmosphère. Sa température de surface permet l’existence d’eau liquide, formant l’hydrosphère.  </w:t>
            </w:r>
          </w:p>
          <w:p w14:paraId="0214E2F2" w14:textId="73A6B54C" w:rsidR="00327CBD" w:rsidRDefault="00327CBD" w:rsidP="00327CBD">
            <w:pPr>
              <w:spacing w:after="82" w:line="259" w:lineRule="auto"/>
              <w:rPr>
                <w:b/>
                <w:color w:val="007F9F"/>
              </w:rPr>
            </w:pPr>
            <w:r>
              <w:rPr>
                <w:i/>
                <w:sz w:val="22"/>
              </w:rPr>
              <w:t>Aux facteurs physiques et géologiques (activité solaire, distance au Soleil, tectonique) s’est ajoutée l’émergence des êtres vivants et de leurs métabolismes. Un fragile équilibre est atteint, qui permet la vie et la maintient.</w:t>
            </w:r>
          </w:p>
        </w:tc>
      </w:tr>
      <w:tr w:rsidR="007F4857" w14:paraId="1AC253A4" w14:textId="77777777" w:rsidTr="6554EDDE">
        <w:trPr>
          <w:gridAfter w:val="1"/>
          <w:wAfter w:w="47" w:type="dxa"/>
        </w:trPr>
        <w:tc>
          <w:tcPr>
            <w:tcW w:w="2872" w:type="dxa"/>
            <w:tcBorders>
              <w:top w:val="single" w:sz="4" w:space="0" w:color="auto"/>
              <w:left w:val="single" w:sz="4" w:space="0" w:color="auto"/>
              <w:bottom w:val="single" w:sz="4" w:space="0" w:color="auto"/>
              <w:right w:val="single" w:sz="4" w:space="0" w:color="auto"/>
            </w:tcBorders>
            <w:vAlign w:val="center"/>
          </w:tcPr>
          <w:p w14:paraId="70945060" w14:textId="1A273F34" w:rsidR="007F4857" w:rsidRDefault="007F4857" w:rsidP="007F4857">
            <w:bookmarkStart w:id="1" w:name="_Hlk6926945"/>
            <w:r>
              <w:rPr>
                <w:rFonts w:ascii="Arial" w:hAnsi="Arial" w:cs="Arial"/>
                <w:b/>
                <w:bCs/>
                <w:sz w:val="22"/>
                <w:szCs w:val="22"/>
              </w:rPr>
              <w:t>Savoirs</w:t>
            </w:r>
          </w:p>
        </w:tc>
        <w:tc>
          <w:tcPr>
            <w:tcW w:w="3649" w:type="dxa"/>
            <w:tcBorders>
              <w:top w:val="single" w:sz="4" w:space="0" w:color="auto"/>
              <w:left w:val="single" w:sz="4" w:space="0" w:color="auto"/>
              <w:bottom w:val="single" w:sz="4" w:space="0" w:color="auto"/>
              <w:right w:val="single" w:sz="4" w:space="0" w:color="auto"/>
            </w:tcBorders>
            <w:vAlign w:val="center"/>
          </w:tcPr>
          <w:p w14:paraId="04DC6BD0" w14:textId="6EB0670F" w:rsidR="007F4857" w:rsidRDefault="007F4857" w:rsidP="007F4857">
            <w:r>
              <w:rPr>
                <w:rFonts w:ascii="Arial" w:hAnsi="Arial" w:cs="Arial"/>
                <w:b/>
                <w:bCs/>
                <w:sz w:val="22"/>
                <w:szCs w:val="22"/>
              </w:rPr>
              <w:t>Savoir-faire</w:t>
            </w:r>
          </w:p>
        </w:tc>
        <w:tc>
          <w:tcPr>
            <w:tcW w:w="2410" w:type="dxa"/>
            <w:shd w:val="clear" w:color="auto" w:fill="BDD6EE" w:themeFill="accent5" w:themeFillTint="66"/>
          </w:tcPr>
          <w:p w14:paraId="1720C4A2" w14:textId="413C2C45" w:rsidR="007F4857" w:rsidRDefault="008F7DAE" w:rsidP="00DD6998">
            <w:r>
              <w:rPr>
                <w:rFonts w:asciiTheme="minorHAnsi" w:hAnsiTheme="minorHAnsi" w:cstheme="minorHAnsi"/>
                <w:b/>
              </w:rPr>
              <w:t xml:space="preserve">Capacités exigibles </w:t>
            </w:r>
            <w:r w:rsidR="003A1350">
              <w:rPr>
                <w:rFonts w:asciiTheme="minorHAnsi" w:hAnsiTheme="minorHAnsi" w:cstheme="minorHAnsi"/>
                <w:b/>
              </w:rPr>
              <w:t xml:space="preserve">de première </w:t>
            </w:r>
            <w:bookmarkStart w:id="2" w:name="_GoBack"/>
            <w:bookmarkEnd w:id="2"/>
            <w:r w:rsidR="0076705D">
              <w:rPr>
                <w:rFonts w:asciiTheme="minorHAnsi" w:hAnsiTheme="minorHAnsi" w:cstheme="minorHAnsi"/>
                <w:b/>
              </w:rPr>
              <w:t>remobilisables</w:t>
            </w:r>
          </w:p>
        </w:tc>
        <w:tc>
          <w:tcPr>
            <w:tcW w:w="2551" w:type="dxa"/>
          </w:tcPr>
          <w:p w14:paraId="5F244BEC" w14:textId="00E23EE8" w:rsidR="007F4857" w:rsidRDefault="007F4857" w:rsidP="007F4857">
            <w:r w:rsidRPr="000C5D32">
              <w:rPr>
                <w:rFonts w:asciiTheme="minorHAnsi" w:hAnsiTheme="minorHAnsi" w:cstheme="minorHAnsi"/>
                <w:b/>
              </w:rPr>
              <w:t>S</w:t>
            </w:r>
            <w:r w:rsidR="00DD6998">
              <w:rPr>
                <w:rFonts w:asciiTheme="minorHAnsi" w:hAnsiTheme="minorHAnsi" w:cstheme="minorHAnsi"/>
                <w:b/>
              </w:rPr>
              <w:t>aut conceptuel en terminale</w:t>
            </w:r>
          </w:p>
        </w:tc>
        <w:tc>
          <w:tcPr>
            <w:tcW w:w="3395" w:type="dxa"/>
          </w:tcPr>
          <w:p w14:paraId="0E818B1B" w14:textId="4758DA8F" w:rsidR="007F4857" w:rsidRPr="007F4857" w:rsidRDefault="007F4857" w:rsidP="007F4857">
            <w:pPr>
              <w:rPr>
                <w:rFonts w:asciiTheme="minorHAnsi" w:hAnsiTheme="minorHAnsi" w:cstheme="minorHAnsi"/>
                <w:b/>
              </w:rPr>
            </w:pPr>
            <w:r w:rsidRPr="007F4857">
              <w:rPr>
                <w:rFonts w:asciiTheme="minorHAnsi" w:hAnsiTheme="minorHAnsi" w:cstheme="minorHAnsi"/>
                <w:b/>
              </w:rPr>
              <w:t>Liens avec les programmes de spécialité</w:t>
            </w:r>
          </w:p>
        </w:tc>
      </w:tr>
      <w:bookmarkEnd w:id="1"/>
      <w:tr w:rsidR="00857BA0" w14:paraId="296D5965" w14:textId="77777777" w:rsidTr="6554EDDE">
        <w:trPr>
          <w:gridAfter w:val="1"/>
          <w:wAfter w:w="47" w:type="dxa"/>
        </w:trPr>
        <w:tc>
          <w:tcPr>
            <w:tcW w:w="2872" w:type="dxa"/>
          </w:tcPr>
          <w:p w14:paraId="2BAE4CD4" w14:textId="77777777" w:rsidR="00857BA0" w:rsidRDefault="00857BA0" w:rsidP="00857BA0">
            <w:pPr>
              <w:spacing w:after="107" w:line="288" w:lineRule="auto"/>
              <w:ind w:right="49"/>
            </w:pPr>
            <w:r>
              <w:rPr>
                <w:sz w:val="22"/>
              </w:rPr>
              <w:lastRenderedPageBreak/>
              <w:t>Il y a environ 4,6 milliards d’années, l’atmosphère primitive était composée de N</w:t>
            </w:r>
            <w:r>
              <w:rPr>
                <w:sz w:val="22"/>
                <w:vertAlign w:val="subscript"/>
              </w:rPr>
              <w:t>2</w:t>
            </w:r>
            <w:r>
              <w:rPr>
                <w:sz w:val="22"/>
              </w:rPr>
              <w:t>, CO</w:t>
            </w:r>
            <w:r>
              <w:rPr>
                <w:sz w:val="22"/>
                <w:vertAlign w:val="subscript"/>
              </w:rPr>
              <w:t>2</w:t>
            </w:r>
            <w:r>
              <w:rPr>
                <w:sz w:val="22"/>
              </w:rPr>
              <w:t xml:space="preserve"> et H</w:t>
            </w:r>
            <w:r>
              <w:rPr>
                <w:sz w:val="22"/>
                <w:vertAlign w:val="subscript"/>
              </w:rPr>
              <w:t>2</w:t>
            </w:r>
            <w:r>
              <w:rPr>
                <w:sz w:val="22"/>
              </w:rPr>
              <w:t>O. Sa composition actuelle est d’environ 78 % de N</w:t>
            </w:r>
            <w:r>
              <w:rPr>
                <w:sz w:val="22"/>
                <w:vertAlign w:val="subscript"/>
              </w:rPr>
              <w:t>2</w:t>
            </w:r>
            <w:r>
              <w:rPr>
                <w:sz w:val="22"/>
              </w:rPr>
              <w:t xml:space="preserve"> et 21 % de O</w:t>
            </w:r>
            <w:r>
              <w:rPr>
                <w:sz w:val="22"/>
                <w:vertAlign w:val="subscript"/>
              </w:rPr>
              <w:t>2</w:t>
            </w:r>
            <w:r>
              <w:rPr>
                <w:sz w:val="22"/>
              </w:rPr>
              <w:t>, avec des traces d’autres gaz (dont H</w:t>
            </w:r>
            <w:r>
              <w:rPr>
                <w:sz w:val="22"/>
                <w:vertAlign w:val="subscript"/>
              </w:rPr>
              <w:t>2</w:t>
            </w:r>
            <w:r>
              <w:rPr>
                <w:sz w:val="22"/>
              </w:rPr>
              <w:t>O, CO</w:t>
            </w:r>
            <w:r>
              <w:rPr>
                <w:sz w:val="22"/>
                <w:vertAlign w:val="subscript"/>
              </w:rPr>
              <w:t>2</w:t>
            </w:r>
            <w:r>
              <w:rPr>
                <w:sz w:val="22"/>
              </w:rPr>
              <w:t>, CH</w:t>
            </w:r>
            <w:r>
              <w:rPr>
                <w:sz w:val="22"/>
                <w:vertAlign w:val="subscript"/>
              </w:rPr>
              <w:t xml:space="preserve">4, </w:t>
            </w:r>
            <w:r>
              <w:rPr>
                <w:sz w:val="22"/>
              </w:rPr>
              <w:t>N</w:t>
            </w:r>
            <w:r>
              <w:rPr>
                <w:sz w:val="22"/>
                <w:vertAlign w:val="subscript"/>
              </w:rPr>
              <w:t>2</w:t>
            </w:r>
            <w:r>
              <w:rPr>
                <w:sz w:val="22"/>
              </w:rPr>
              <w:t xml:space="preserve">O).  </w:t>
            </w:r>
          </w:p>
          <w:p w14:paraId="58C63E60" w14:textId="77777777" w:rsidR="00857BA0" w:rsidRDefault="00857BA0" w:rsidP="00857BA0">
            <w:pPr>
              <w:spacing w:after="119" w:line="275" w:lineRule="auto"/>
              <w:ind w:right="53"/>
            </w:pPr>
            <w:r>
              <w:rPr>
                <w:sz w:val="22"/>
              </w:rPr>
              <w:t xml:space="preserve">Le refroidissement de la surface de la Terre primitive a conduit à la liquéfaction de la vapeur d’eau présente dans l’atmosphère initiale. L’hydrosphère s’est formée, dans laquelle s’est développée la vie. </w:t>
            </w:r>
          </w:p>
          <w:p w14:paraId="788FC0A6" w14:textId="77777777" w:rsidR="00857BA0" w:rsidRDefault="00857BA0" w:rsidP="00857BA0">
            <w:pPr>
              <w:spacing w:after="122" w:line="275" w:lineRule="auto"/>
              <w:ind w:left="2" w:right="50"/>
            </w:pPr>
            <w:r>
              <w:rPr>
                <w:sz w:val="22"/>
              </w:rPr>
              <w:t xml:space="preserve">Les premières traces de vie sont datées d’il y a au moins 3,5 milliards d’années. Par leur métabolisme photosynthétique, des cyanobactéries ont produit le dioxygène qui a oxydé, dans l’océan, des espèces chimiques réduites. Le dioxygène s’est accumulé à partir de 2,4 milliards d’années dans l’atmosphère. Sa concentration </w:t>
            </w:r>
            <w:r>
              <w:rPr>
                <w:sz w:val="22"/>
              </w:rPr>
              <w:lastRenderedPageBreak/>
              <w:t xml:space="preserve">atmosphérique actuelle a été atteinte il y a 500 millions d’années environ. </w:t>
            </w:r>
          </w:p>
          <w:p w14:paraId="3DDEA3F4" w14:textId="77777777" w:rsidR="00857BA0" w:rsidRDefault="00857BA0" w:rsidP="00857BA0">
            <w:pPr>
              <w:spacing w:after="121" w:line="275" w:lineRule="auto"/>
              <w:ind w:left="2" w:right="53"/>
            </w:pPr>
            <w:r>
              <w:rPr>
                <w:sz w:val="22"/>
              </w:rPr>
              <w:t xml:space="preserve">Les sources et puits de dioxygène atmosphérique sont aujourd’hui essentiellement liés aux êtres vivants (photosynthèse et respiration) et aux combustions.  </w:t>
            </w:r>
          </w:p>
          <w:p w14:paraId="2144A707" w14:textId="77777777" w:rsidR="00857BA0" w:rsidRDefault="00857BA0" w:rsidP="00857BA0">
            <w:pPr>
              <w:spacing w:after="119" w:line="275" w:lineRule="auto"/>
              <w:ind w:left="2" w:right="50"/>
            </w:pPr>
            <w:r>
              <w:rPr>
                <w:sz w:val="22"/>
              </w:rPr>
              <w:t>Sous l’effet du rayonnement ultraviolet solaire, le dioxygène stratosphérique peut se dissocier, initiant</w:t>
            </w:r>
            <w:r>
              <w:rPr>
                <w:color w:val="FF0000"/>
                <w:sz w:val="22"/>
              </w:rPr>
              <w:t xml:space="preserve"> </w:t>
            </w:r>
            <w:r>
              <w:rPr>
                <w:sz w:val="22"/>
              </w:rPr>
              <w:t>une transformation chimique qui aboutit à la formation d’ozone. Celui-ci constitue une couche permanente de concentration maximale située</w:t>
            </w:r>
            <w:r>
              <w:rPr>
                <w:color w:val="FF0000"/>
                <w:sz w:val="22"/>
              </w:rPr>
              <w:t xml:space="preserve"> </w:t>
            </w:r>
            <w:r>
              <w:rPr>
                <w:sz w:val="22"/>
              </w:rPr>
              <w:t xml:space="preserve">à une altitude d’environ 30 km. La couche d’ozone absorbe une partie du rayonnement ultraviolet solaire et protège les êtres vivants de ses effets mutagènes. </w:t>
            </w:r>
          </w:p>
          <w:p w14:paraId="2BA4288F" w14:textId="77777777" w:rsidR="00857BA0" w:rsidRDefault="00857BA0" w:rsidP="00857BA0">
            <w:pPr>
              <w:spacing w:after="121" w:line="275" w:lineRule="auto"/>
              <w:ind w:left="2" w:right="51"/>
            </w:pPr>
            <w:r>
              <w:rPr>
                <w:sz w:val="22"/>
              </w:rPr>
              <w:t xml:space="preserve">Le carbone est stocké dans plusieurs réservoirs superficiels : l’atmosphère, </w:t>
            </w:r>
            <w:r>
              <w:rPr>
                <w:sz w:val="22"/>
              </w:rPr>
              <w:lastRenderedPageBreak/>
              <w:t xml:space="preserve">les sols, les océans, la biosphère et les roches. Les échanges de carbone entre ces réservoirs sont quantifiés par des flux (tonne/an). Les quantités de carbone dans les différents réservoirs sont constantes lorsque les flux sont équilibrés. L’ensemble de ces échanges constitue le cycle du carbone sur Terre.  </w:t>
            </w:r>
          </w:p>
          <w:p w14:paraId="2C0F8356" w14:textId="53B4C7B2" w:rsidR="00857BA0" w:rsidRPr="00C00448" w:rsidRDefault="00857BA0" w:rsidP="00857BA0">
            <w:pPr>
              <w:rPr>
                <w:rFonts w:ascii="Arial" w:hAnsi="Arial" w:cs="Arial"/>
                <w:sz w:val="22"/>
                <w:szCs w:val="22"/>
              </w:rPr>
            </w:pPr>
            <w:r>
              <w:rPr>
                <w:sz w:val="22"/>
              </w:rPr>
              <w:t>Les combustibles fossiles se sont formés à partir du carbone des êtres vivants, il y a plusieurs dizaines à plusieurs centaines de millions d’années. Ils ne se renouvellent pas suffisamment vite pour que les stocks se reconstituent : ces ressources en énergie sont dites non renouvelables</w:t>
            </w:r>
            <w:r>
              <w:rPr>
                <w:i/>
                <w:sz w:val="22"/>
              </w:rPr>
              <w:t>.</w:t>
            </w:r>
          </w:p>
        </w:tc>
        <w:tc>
          <w:tcPr>
            <w:tcW w:w="3649" w:type="dxa"/>
            <w:vAlign w:val="bottom"/>
          </w:tcPr>
          <w:p w14:paraId="121FD34C" w14:textId="77777777" w:rsidR="00857BA0" w:rsidRDefault="00857BA0" w:rsidP="00857BA0">
            <w:pPr>
              <w:spacing w:after="118" w:line="276" w:lineRule="auto"/>
              <w:ind w:right="55"/>
            </w:pPr>
            <w:r>
              <w:rPr>
                <w:sz w:val="22"/>
              </w:rPr>
              <w:lastRenderedPageBreak/>
              <w:t xml:space="preserve">Analyser des données, en lien avec l’évolution de la composition de l’atmosphère au cours des temps géologiques. </w:t>
            </w:r>
          </w:p>
          <w:p w14:paraId="69F9C234" w14:textId="77777777" w:rsidR="00857BA0" w:rsidRDefault="00857BA0" w:rsidP="00857BA0">
            <w:pPr>
              <w:spacing w:after="139" w:line="259" w:lineRule="auto"/>
              <w:ind w:left="1"/>
            </w:pPr>
            <w:r>
              <w:rPr>
                <w:sz w:val="22"/>
              </w:rPr>
              <w:t xml:space="preserve"> </w:t>
            </w:r>
          </w:p>
          <w:p w14:paraId="2D9C3C8D" w14:textId="77777777" w:rsidR="00857BA0" w:rsidRDefault="00857BA0" w:rsidP="00857BA0">
            <w:pPr>
              <w:spacing w:after="139" w:line="259" w:lineRule="auto"/>
              <w:ind w:left="1"/>
            </w:pPr>
            <w:r>
              <w:rPr>
                <w:sz w:val="22"/>
              </w:rPr>
              <w:t xml:space="preserve"> </w:t>
            </w:r>
          </w:p>
          <w:p w14:paraId="5DCBCA22" w14:textId="77777777" w:rsidR="00857BA0" w:rsidRDefault="00857BA0" w:rsidP="00857BA0">
            <w:pPr>
              <w:spacing w:after="122" w:line="275" w:lineRule="auto"/>
              <w:ind w:left="1" w:right="53"/>
            </w:pPr>
            <w:r>
              <w:rPr>
                <w:sz w:val="22"/>
              </w:rPr>
              <w:t xml:space="preserve">Déterminer l’état physique de l’eau pour une température et une pression donnée à partir de son diagramme d’état.  </w:t>
            </w:r>
          </w:p>
          <w:p w14:paraId="6E165D2E" w14:textId="77777777" w:rsidR="00857BA0" w:rsidRDefault="00857BA0" w:rsidP="00857BA0">
            <w:pPr>
              <w:spacing w:after="145" w:line="259" w:lineRule="auto"/>
              <w:ind w:left="1"/>
            </w:pPr>
            <w:r>
              <w:rPr>
                <w:sz w:val="22"/>
              </w:rPr>
              <w:t xml:space="preserve"> </w:t>
            </w:r>
          </w:p>
          <w:p w14:paraId="6B019DF4" w14:textId="77777777" w:rsidR="00857BA0" w:rsidRDefault="00857BA0" w:rsidP="00857BA0">
            <w:pPr>
              <w:spacing w:after="14" w:line="276" w:lineRule="auto"/>
              <w:ind w:left="1" w:right="52"/>
            </w:pPr>
            <w:r>
              <w:rPr>
                <w:sz w:val="22"/>
              </w:rPr>
              <w:t>Mettre en relation la production de O</w:t>
            </w:r>
            <w:r>
              <w:rPr>
                <w:sz w:val="22"/>
                <w:vertAlign w:val="subscript"/>
              </w:rPr>
              <w:t>2</w:t>
            </w:r>
            <w:r>
              <w:rPr>
                <w:sz w:val="22"/>
              </w:rPr>
              <w:t xml:space="preserve"> dans l’atmosphère avec des indices géologiques (oxydes de fer rubanés, stromatolithes ...).      </w:t>
            </w:r>
          </w:p>
          <w:p w14:paraId="1ACEF813" w14:textId="77777777" w:rsidR="00857BA0" w:rsidRDefault="00857BA0" w:rsidP="00857BA0">
            <w:pPr>
              <w:spacing w:after="136" w:line="259" w:lineRule="auto"/>
            </w:pPr>
            <w:r>
              <w:rPr>
                <w:sz w:val="22"/>
              </w:rPr>
              <w:t xml:space="preserve">Ajuster </w:t>
            </w:r>
            <w:r>
              <w:rPr>
                <w:sz w:val="22"/>
              </w:rPr>
              <w:tab/>
              <w:t xml:space="preserve">les </w:t>
            </w:r>
            <w:r>
              <w:rPr>
                <w:sz w:val="22"/>
              </w:rPr>
              <w:tab/>
              <w:t xml:space="preserve">équations </w:t>
            </w:r>
            <w:r>
              <w:rPr>
                <w:sz w:val="22"/>
              </w:rPr>
              <w:tab/>
              <w:t xml:space="preserve">des </w:t>
            </w:r>
            <w:r>
              <w:rPr>
                <w:sz w:val="22"/>
              </w:rPr>
              <w:tab/>
              <w:t xml:space="preserve">réactions </w:t>
            </w:r>
            <w:r>
              <w:rPr>
                <w:sz w:val="22"/>
              </w:rPr>
              <w:tab/>
              <w:t xml:space="preserve">chimiques d’oxydation du fer par le dioxygène.  </w:t>
            </w:r>
          </w:p>
          <w:p w14:paraId="110FAD39" w14:textId="77777777" w:rsidR="00857BA0" w:rsidRDefault="00857BA0" w:rsidP="00857BA0">
            <w:pPr>
              <w:spacing w:after="139" w:line="259" w:lineRule="auto"/>
            </w:pPr>
            <w:r>
              <w:rPr>
                <w:sz w:val="22"/>
              </w:rPr>
              <w:t xml:space="preserve"> </w:t>
            </w:r>
          </w:p>
          <w:p w14:paraId="79E157D0" w14:textId="289B12DB" w:rsidR="00857BA0" w:rsidRDefault="00857BA0" w:rsidP="00857BA0">
            <w:pPr>
              <w:spacing w:after="19" w:line="259" w:lineRule="auto"/>
            </w:pPr>
          </w:p>
          <w:p w14:paraId="54F2B72E" w14:textId="77777777" w:rsidR="00857BA0" w:rsidRDefault="00857BA0" w:rsidP="00857BA0">
            <w:pPr>
              <w:spacing w:after="120" w:line="276" w:lineRule="auto"/>
            </w:pPr>
            <w:r>
              <w:rPr>
                <w:sz w:val="22"/>
              </w:rPr>
              <w:t xml:space="preserve">Interpréter des spectres d’absorption de l’ozone et de l’ADN dans le domaine ultraviolet. </w:t>
            </w:r>
          </w:p>
          <w:p w14:paraId="0D686402" w14:textId="77777777" w:rsidR="00857BA0" w:rsidRDefault="00857BA0" w:rsidP="00857BA0">
            <w:pPr>
              <w:spacing w:after="121" w:line="275" w:lineRule="auto"/>
              <w:ind w:right="53"/>
            </w:pPr>
            <w:r>
              <w:rPr>
                <w:sz w:val="22"/>
              </w:rPr>
              <w:t xml:space="preserve">Analyser un schéma représentant le cycle biogéochimique du carbone pour comparer les stocks des différents réservoirs et identifier les </w:t>
            </w:r>
            <w:r>
              <w:rPr>
                <w:sz w:val="22"/>
              </w:rPr>
              <w:lastRenderedPageBreak/>
              <w:t xml:space="preserve">flux principaux de carbone d’origine anthropique ou non. </w:t>
            </w:r>
          </w:p>
          <w:p w14:paraId="6A2E3C07" w14:textId="38157760" w:rsidR="00857BA0" w:rsidRPr="00C00448" w:rsidRDefault="00857BA0" w:rsidP="00857BA0">
            <w:pPr>
              <w:rPr>
                <w:rFonts w:ascii="Arial" w:hAnsi="Arial" w:cs="Arial"/>
              </w:rPr>
            </w:pPr>
          </w:p>
        </w:tc>
        <w:tc>
          <w:tcPr>
            <w:tcW w:w="2410" w:type="dxa"/>
            <w:shd w:val="clear" w:color="auto" w:fill="BDD6EE" w:themeFill="accent5" w:themeFillTint="66"/>
          </w:tcPr>
          <w:p w14:paraId="0DE2C960" w14:textId="77777777" w:rsidR="00857BA0" w:rsidRPr="001B1AE8" w:rsidRDefault="00857BA0" w:rsidP="00857BA0">
            <w:pPr>
              <w:spacing w:after="118" w:line="276" w:lineRule="auto"/>
              <w:ind w:right="55"/>
              <w:rPr>
                <w:b/>
                <w:sz w:val="22"/>
              </w:rPr>
            </w:pPr>
            <w:r w:rsidRPr="001B1AE8">
              <w:rPr>
                <w:b/>
                <w:sz w:val="22"/>
              </w:rPr>
              <w:lastRenderedPageBreak/>
              <w:t>Physique-chimie</w:t>
            </w:r>
          </w:p>
          <w:p w14:paraId="5054313B" w14:textId="77777777" w:rsidR="00857BA0" w:rsidRDefault="00857BA0" w:rsidP="00857BA0">
            <w:pPr>
              <w:pStyle w:val="Default"/>
              <w:jc w:val="both"/>
              <w:rPr>
                <w:sz w:val="22"/>
                <w:szCs w:val="22"/>
              </w:rPr>
            </w:pPr>
            <w:r>
              <w:rPr>
                <w:sz w:val="22"/>
                <w:szCs w:val="22"/>
              </w:rPr>
              <w:t xml:space="preserve">Identifier, à partir de valeurs de référence, une espèce chimique par ses températures de changement d’état, sa masse volumique ou par des tests chimiques. </w:t>
            </w:r>
          </w:p>
          <w:p w14:paraId="48F1779B" w14:textId="77777777" w:rsidR="00857BA0" w:rsidRDefault="00857BA0" w:rsidP="00857BA0">
            <w:pPr>
              <w:pStyle w:val="Default"/>
              <w:jc w:val="both"/>
              <w:rPr>
                <w:sz w:val="22"/>
                <w:szCs w:val="22"/>
              </w:rPr>
            </w:pPr>
          </w:p>
          <w:p w14:paraId="7286409C" w14:textId="77777777" w:rsidR="00857BA0" w:rsidRDefault="00857BA0" w:rsidP="00857BA0">
            <w:pPr>
              <w:pStyle w:val="Default"/>
              <w:jc w:val="both"/>
              <w:rPr>
                <w:sz w:val="22"/>
                <w:szCs w:val="22"/>
              </w:rPr>
            </w:pPr>
            <w:r>
              <w:rPr>
                <w:sz w:val="22"/>
                <w:szCs w:val="22"/>
              </w:rPr>
              <w:t xml:space="preserve">Citer des exemples de changements d’état physique de la vie courante et dans l’environnement. </w:t>
            </w:r>
          </w:p>
          <w:p w14:paraId="23698F91" w14:textId="77777777" w:rsidR="00857BA0" w:rsidRDefault="00857BA0" w:rsidP="00857BA0">
            <w:pPr>
              <w:pStyle w:val="Default"/>
              <w:jc w:val="both"/>
              <w:rPr>
                <w:sz w:val="22"/>
                <w:szCs w:val="22"/>
              </w:rPr>
            </w:pPr>
            <w:r>
              <w:rPr>
                <w:sz w:val="22"/>
                <w:szCs w:val="22"/>
              </w:rPr>
              <w:t xml:space="preserve">Établir l’écriture d’une équation pour un changement d’état. </w:t>
            </w:r>
          </w:p>
          <w:p w14:paraId="23B580EC" w14:textId="77777777" w:rsidR="00857BA0" w:rsidRDefault="00857BA0" w:rsidP="00857BA0">
            <w:pPr>
              <w:pStyle w:val="Default"/>
              <w:jc w:val="both"/>
              <w:rPr>
                <w:sz w:val="22"/>
                <w:szCs w:val="22"/>
              </w:rPr>
            </w:pPr>
          </w:p>
          <w:p w14:paraId="536981E7" w14:textId="77777777" w:rsidR="009E498F" w:rsidRDefault="009E498F" w:rsidP="009E498F">
            <w:pPr>
              <w:pStyle w:val="Default"/>
              <w:jc w:val="both"/>
              <w:rPr>
                <w:sz w:val="22"/>
                <w:szCs w:val="22"/>
              </w:rPr>
            </w:pPr>
            <w:r>
              <w:rPr>
                <w:sz w:val="22"/>
                <w:szCs w:val="22"/>
              </w:rPr>
              <w:t xml:space="preserve">Modéliser, à partir de données expérimentales, une transformation par une réaction, établir l’équation de réaction associée et l’ajuster. </w:t>
            </w:r>
          </w:p>
          <w:p w14:paraId="2BB00123" w14:textId="77777777" w:rsidR="00857BA0" w:rsidRDefault="00857BA0" w:rsidP="00857BA0">
            <w:pPr>
              <w:pStyle w:val="Default"/>
              <w:jc w:val="both"/>
              <w:rPr>
                <w:sz w:val="22"/>
                <w:szCs w:val="22"/>
              </w:rPr>
            </w:pPr>
          </w:p>
          <w:p w14:paraId="1A286F56" w14:textId="77777777" w:rsidR="00857BA0" w:rsidRDefault="00857BA0" w:rsidP="00857BA0">
            <w:pPr>
              <w:pStyle w:val="Default"/>
              <w:jc w:val="both"/>
              <w:rPr>
                <w:sz w:val="22"/>
                <w:szCs w:val="22"/>
              </w:rPr>
            </w:pPr>
          </w:p>
          <w:p w14:paraId="1C4404FF" w14:textId="77777777" w:rsidR="00857BA0" w:rsidRPr="00CB1F29" w:rsidRDefault="00857BA0" w:rsidP="00857BA0">
            <w:pPr>
              <w:pStyle w:val="Default"/>
              <w:jc w:val="both"/>
              <w:rPr>
                <w:sz w:val="22"/>
                <w:szCs w:val="22"/>
              </w:rPr>
            </w:pPr>
            <w:r>
              <w:rPr>
                <w:sz w:val="22"/>
                <w:szCs w:val="22"/>
              </w:rPr>
              <w:t xml:space="preserve">La notion de spectre est vue en seconde et en première dans le cadre de l’enseignement scientifique (partie </w:t>
            </w:r>
            <w:r>
              <w:rPr>
                <w:sz w:val="22"/>
                <w:szCs w:val="22"/>
              </w:rPr>
              <w:lastRenderedPageBreak/>
              <w:t>bilan radiatif de la Terre notamment).</w:t>
            </w:r>
          </w:p>
          <w:p w14:paraId="0AC1C4D1" w14:textId="3002C81D" w:rsidR="00857BA0" w:rsidRPr="0076705D" w:rsidRDefault="00857BA0" w:rsidP="00857BA0">
            <w:pPr>
              <w:pStyle w:val="Default"/>
              <w:rPr>
                <w:rFonts w:ascii="Cambria" w:hAnsi="Cambria"/>
                <w:b/>
              </w:rPr>
            </w:pPr>
          </w:p>
        </w:tc>
        <w:tc>
          <w:tcPr>
            <w:tcW w:w="2551" w:type="dxa"/>
          </w:tcPr>
          <w:p w14:paraId="6449F864" w14:textId="77777777" w:rsidR="00857BA0" w:rsidRDefault="00857BA0" w:rsidP="00857BA0">
            <w:pPr>
              <w:rPr>
                <w:sz w:val="22"/>
              </w:rPr>
            </w:pPr>
            <w:r>
              <w:rPr>
                <w:sz w:val="22"/>
              </w:rPr>
              <w:lastRenderedPageBreak/>
              <w:t>Les élèves savent identifier l’état physique d’une espèce chimique, à pression normale, pour une température donnée connaissant les températures de changement d’état. Le diagramme d’état permet de le faire pour différentes pressions. On l’applique ici à l’eau.</w:t>
            </w:r>
          </w:p>
          <w:p w14:paraId="7D0500E7" w14:textId="77777777" w:rsidR="004769D8" w:rsidRDefault="004769D8" w:rsidP="00857BA0">
            <w:pPr>
              <w:rPr>
                <w:sz w:val="22"/>
              </w:rPr>
            </w:pPr>
          </w:p>
          <w:p w14:paraId="46A84B76" w14:textId="049A90D7" w:rsidR="004769D8" w:rsidRPr="0076705D" w:rsidRDefault="004769D8" w:rsidP="00857BA0">
            <w:pPr>
              <w:rPr>
                <w:rFonts w:ascii="Cambria" w:hAnsi="Cambria"/>
              </w:rPr>
            </w:pPr>
            <w:r>
              <w:rPr>
                <w:sz w:val="22"/>
              </w:rPr>
              <w:t xml:space="preserve">Le modélisation mathématique de la dilatation thermique n’est qu’un outil, elle n’est pas exigible. </w:t>
            </w:r>
          </w:p>
        </w:tc>
        <w:tc>
          <w:tcPr>
            <w:tcW w:w="3395" w:type="dxa"/>
          </w:tcPr>
          <w:p w14:paraId="63CCF94B" w14:textId="6AF158EF" w:rsidR="00857BA0" w:rsidRDefault="00857BA0" w:rsidP="00857BA0">
            <w:pPr>
              <w:rPr>
                <w:sz w:val="22"/>
              </w:rPr>
            </w:pPr>
            <w:r>
              <w:rPr>
                <w:sz w:val="22"/>
              </w:rPr>
              <w:t xml:space="preserve">En </w:t>
            </w:r>
            <w:r w:rsidR="00D034C5">
              <w:rPr>
                <w:sz w:val="22"/>
              </w:rPr>
              <w:t xml:space="preserve">physique-chimie en </w:t>
            </w:r>
            <w:r>
              <w:rPr>
                <w:sz w:val="22"/>
              </w:rPr>
              <w:t>première les élèves modélisent une réaction d’oxydo-réduction en utilisant le formalisme des couples oxydant/réducteur</w:t>
            </w:r>
          </w:p>
          <w:p w14:paraId="2EF05D99" w14:textId="77777777" w:rsidR="00D034C5" w:rsidRDefault="00D034C5" w:rsidP="00857BA0">
            <w:pPr>
              <w:rPr>
                <w:sz w:val="22"/>
              </w:rPr>
            </w:pPr>
          </w:p>
          <w:p w14:paraId="4163B6EC" w14:textId="7187A087" w:rsidR="00D034C5" w:rsidRPr="00D906D4" w:rsidRDefault="00D034C5" w:rsidP="00857BA0">
            <w:pPr>
              <w:rPr>
                <w:rFonts w:ascii="Cambria" w:hAnsi="Cambria"/>
              </w:rPr>
            </w:pPr>
            <w:r>
              <w:rPr>
                <w:sz w:val="22"/>
              </w:rPr>
              <w:t>En physique-chimie en terminale le thème sur l’énergie permet d’aller plus loin sur les bilans d’énergie. On y traite notamment du bilan thermique Terre-atmosphère (exploitation de loi de Stefan-Boltzmann).</w:t>
            </w:r>
          </w:p>
        </w:tc>
      </w:tr>
      <w:tr w:rsidR="00857BA0" w14:paraId="2182FD4B" w14:textId="77777777" w:rsidTr="6554EDDE">
        <w:tc>
          <w:tcPr>
            <w:tcW w:w="14924" w:type="dxa"/>
            <w:gridSpan w:val="6"/>
          </w:tcPr>
          <w:p w14:paraId="2F85B0A3" w14:textId="77777777" w:rsidR="00E04D11" w:rsidRDefault="00E04D11" w:rsidP="00E04D11">
            <w:pPr>
              <w:spacing w:line="259" w:lineRule="auto"/>
              <w:ind w:left="2"/>
            </w:pPr>
            <w:r>
              <w:rPr>
                <w:b/>
                <w:color w:val="007F9F"/>
              </w:rPr>
              <w:lastRenderedPageBreak/>
              <w:t xml:space="preserve">Prérequis et limites </w:t>
            </w:r>
          </w:p>
          <w:p w14:paraId="36D61F01" w14:textId="77777777" w:rsidR="00E04D11" w:rsidRDefault="00E04D11" w:rsidP="00E04D11">
            <w:pPr>
              <w:spacing w:line="276" w:lineRule="auto"/>
              <w:ind w:left="2" w:right="51"/>
            </w:pPr>
            <w:r>
              <w:rPr>
                <w:sz w:val="22"/>
              </w:rPr>
              <w:t xml:space="preserve">L’enjeu est de comprendre les relations étroites entre l’histoire de la Terre et celle de la vie. Sans chercher à dater précisément chaque événement, il s’agit de connaître les différentes échelles de temps concernées. Aucun développement général sur les réactions d’oxydo-réduction n’est attendu. </w:t>
            </w:r>
          </w:p>
          <w:p w14:paraId="39EF0441" w14:textId="0EF68669" w:rsidR="00857BA0" w:rsidRDefault="00857BA0" w:rsidP="00857BA0"/>
        </w:tc>
      </w:tr>
      <w:tr w:rsidR="00857BA0" w14:paraId="7134483E" w14:textId="77777777" w:rsidTr="6554EDDE">
        <w:tc>
          <w:tcPr>
            <w:tcW w:w="14924" w:type="dxa"/>
            <w:gridSpan w:val="6"/>
          </w:tcPr>
          <w:p w14:paraId="60DF7904" w14:textId="77777777" w:rsidR="00E04D11" w:rsidRDefault="00E04D11" w:rsidP="00E04D11">
            <w:pPr>
              <w:spacing w:after="75" w:line="259" w:lineRule="auto"/>
              <w:ind w:left="2"/>
            </w:pPr>
            <w:r>
              <w:rPr>
                <w:b/>
                <w:color w:val="007F9F"/>
              </w:rPr>
              <w:t xml:space="preserve">1.2 La complexité du système climatique </w:t>
            </w:r>
          </w:p>
          <w:p w14:paraId="78327D9B" w14:textId="77777777" w:rsidR="00E04D11" w:rsidRDefault="00E04D11" w:rsidP="00E04D11">
            <w:pPr>
              <w:spacing w:after="111" w:line="239" w:lineRule="auto"/>
              <w:ind w:left="2" w:right="50"/>
            </w:pPr>
            <w:r>
              <w:rPr>
                <w:i/>
                <w:sz w:val="22"/>
              </w:rPr>
              <w:t xml:space="preserve">Le système climatique et son évolution dans le temps résultent de plusieurs facteurs naturels et d’interactions entre océans, atmosphère, biosphère, lithosphère et cryosphère. Il est nécessaire de prendre en compte ces interactions à différentes échelles spatiales et temporelles (de l’année au million d’années voire davantage). Le système climatique présente une variabilité spontanée et réagit aux perturbations de son bilan d’énergie par des mécanismes appelés rétroactions. Les facteurs anthropiques ont des conséquences irréversibles à court terme. </w:t>
            </w:r>
          </w:p>
          <w:p w14:paraId="3582AD04" w14:textId="0AEFB180" w:rsidR="00857BA0" w:rsidRPr="00E04D11" w:rsidRDefault="00857BA0" w:rsidP="00E04D11">
            <w:pPr>
              <w:spacing w:before="72"/>
              <w:rPr>
                <w:sz w:val="22"/>
                <w:szCs w:val="22"/>
              </w:rPr>
            </w:pPr>
          </w:p>
        </w:tc>
      </w:tr>
      <w:tr w:rsidR="00DD6998" w14:paraId="33C4A6C8" w14:textId="77777777" w:rsidTr="6554EDDE">
        <w:trPr>
          <w:gridAfter w:val="1"/>
          <w:wAfter w:w="47" w:type="dxa"/>
        </w:trPr>
        <w:tc>
          <w:tcPr>
            <w:tcW w:w="2872" w:type="dxa"/>
            <w:vAlign w:val="center"/>
          </w:tcPr>
          <w:p w14:paraId="1A149D53" w14:textId="3912309A" w:rsidR="00DD6998" w:rsidRPr="00C00448" w:rsidRDefault="00DD6998" w:rsidP="00DD6998">
            <w:pPr>
              <w:pStyle w:val="Default"/>
              <w:rPr>
                <w:sz w:val="22"/>
                <w:szCs w:val="22"/>
              </w:rPr>
            </w:pPr>
            <w:bookmarkStart w:id="3" w:name="_Hlk6927149"/>
            <w:r>
              <w:rPr>
                <w:b/>
                <w:bCs/>
                <w:sz w:val="22"/>
                <w:szCs w:val="22"/>
              </w:rPr>
              <w:lastRenderedPageBreak/>
              <w:t>Savoirs</w:t>
            </w:r>
          </w:p>
        </w:tc>
        <w:tc>
          <w:tcPr>
            <w:tcW w:w="3649" w:type="dxa"/>
            <w:vAlign w:val="center"/>
          </w:tcPr>
          <w:p w14:paraId="23E44249" w14:textId="59853509" w:rsidR="00DD6998" w:rsidRPr="00C00448" w:rsidRDefault="00DD6998" w:rsidP="00DD6998">
            <w:pPr>
              <w:pStyle w:val="Default"/>
              <w:rPr>
                <w:sz w:val="22"/>
                <w:szCs w:val="22"/>
              </w:rPr>
            </w:pPr>
            <w:r>
              <w:rPr>
                <w:b/>
                <w:bCs/>
                <w:sz w:val="22"/>
                <w:szCs w:val="22"/>
              </w:rPr>
              <w:t>Savoir-faire</w:t>
            </w:r>
          </w:p>
        </w:tc>
        <w:tc>
          <w:tcPr>
            <w:tcW w:w="2410" w:type="dxa"/>
            <w:shd w:val="clear" w:color="auto" w:fill="BDD6EE" w:themeFill="accent5" w:themeFillTint="66"/>
          </w:tcPr>
          <w:p w14:paraId="06CFA8CA" w14:textId="38355FD4" w:rsidR="00DD6998" w:rsidRDefault="00DD6998" w:rsidP="00DD6998">
            <w:r>
              <w:rPr>
                <w:rFonts w:asciiTheme="minorHAnsi" w:hAnsiTheme="minorHAnsi" w:cstheme="minorHAnsi"/>
                <w:b/>
              </w:rPr>
              <w:t>Capacités exigibles de remobilisables</w:t>
            </w:r>
          </w:p>
        </w:tc>
        <w:tc>
          <w:tcPr>
            <w:tcW w:w="2551" w:type="dxa"/>
          </w:tcPr>
          <w:p w14:paraId="678AFEAF" w14:textId="0004CCB9" w:rsidR="00DD6998" w:rsidRDefault="00DD6998" w:rsidP="00DD6998">
            <w:r w:rsidRPr="000C5D32">
              <w:rPr>
                <w:rFonts w:asciiTheme="minorHAnsi" w:hAnsiTheme="minorHAnsi" w:cstheme="minorHAnsi"/>
                <w:b/>
              </w:rPr>
              <w:t>S</w:t>
            </w:r>
            <w:r>
              <w:rPr>
                <w:rFonts w:asciiTheme="minorHAnsi" w:hAnsiTheme="minorHAnsi" w:cstheme="minorHAnsi"/>
                <w:b/>
              </w:rPr>
              <w:t>aut conceptuel en terminale</w:t>
            </w:r>
          </w:p>
        </w:tc>
        <w:tc>
          <w:tcPr>
            <w:tcW w:w="3395" w:type="dxa"/>
          </w:tcPr>
          <w:p w14:paraId="5A596D58" w14:textId="3AEDF6DF" w:rsidR="00DD6998" w:rsidRDefault="00DD6998" w:rsidP="00DD6998">
            <w:r w:rsidRPr="007F4857">
              <w:rPr>
                <w:rFonts w:asciiTheme="minorHAnsi" w:hAnsiTheme="minorHAnsi" w:cstheme="minorHAnsi"/>
                <w:b/>
              </w:rPr>
              <w:t>Liens avec les programmes de spécialité</w:t>
            </w:r>
          </w:p>
        </w:tc>
      </w:tr>
      <w:bookmarkEnd w:id="3"/>
      <w:tr w:rsidR="00E04D11" w14:paraId="02442B6B" w14:textId="77777777" w:rsidTr="6554EDDE">
        <w:trPr>
          <w:gridAfter w:val="1"/>
          <w:wAfter w:w="47" w:type="dxa"/>
        </w:trPr>
        <w:tc>
          <w:tcPr>
            <w:tcW w:w="2872" w:type="dxa"/>
            <w:vAlign w:val="bottom"/>
          </w:tcPr>
          <w:p w14:paraId="62A18206" w14:textId="77777777" w:rsidR="00E04D11" w:rsidRDefault="00E04D11" w:rsidP="00E04D11">
            <w:pPr>
              <w:spacing w:after="118" w:line="275" w:lineRule="auto"/>
              <w:ind w:right="50"/>
            </w:pPr>
            <w:r>
              <w:rPr>
                <w:sz w:val="22"/>
              </w:rPr>
              <w:t xml:space="preserve">Un climat est défini par un ensemble de moyennes de grandeurs atmosphériques observées dans une région donnée pendant une période donnée. Ces grandeurs sont principalement la température, la pression, le degré d’hygrométrie, la pluviométrie, la nébulosité, la vitesse et la direction des vents.  </w:t>
            </w:r>
          </w:p>
          <w:p w14:paraId="69060136" w14:textId="77777777" w:rsidR="00E04D11" w:rsidRDefault="00E04D11" w:rsidP="00E04D11">
            <w:pPr>
              <w:spacing w:after="118" w:line="276" w:lineRule="auto"/>
              <w:ind w:right="53"/>
            </w:pPr>
            <w:r>
              <w:rPr>
                <w:sz w:val="22"/>
              </w:rPr>
              <w:t xml:space="preserve">La climatologie étudie les variations du climat local ou global à moyen ou long terme (années, siècles, millénaires, …). </w:t>
            </w:r>
          </w:p>
          <w:p w14:paraId="26695713" w14:textId="77777777" w:rsidR="00E04D11" w:rsidRDefault="00E04D11" w:rsidP="00E04D11">
            <w:pPr>
              <w:spacing w:after="118" w:line="276" w:lineRule="auto"/>
              <w:ind w:right="51"/>
            </w:pPr>
            <w:r>
              <w:rPr>
                <w:sz w:val="22"/>
              </w:rPr>
              <w:t xml:space="preserve">La météorologie étudie les phénomènes atmosphériques qu’elle prévoit à court terme (jours, semaines).  </w:t>
            </w:r>
          </w:p>
          <w:p w14:paraId="323E414E" w14:textId="3FA36C5A" w:rsidR="00E04D11" w:rsidRDefault="00E04D11" w:rsidP="00E04D11">
            <w:pPr>
              <w:spacing w:after="121" w:line="275" w:lineRule="auto"/>
              <w:ind w:right="50"/>
            </w:pPr>
            <w:r>
              <w:rPr>
                <w:sz w:val="22"/>
              </w:rPr>
              <w:t xml:space="preserve">La température moyenne de la Terre, calculée à partir de mesures </w:t>
            </w:r>
            <w:r>
              <w:rPr>
                <w:i/>
                <w:sz w:val="22"/>
              </w:rPr>
              <w:t>in situ</w:t>
            </w:r>
            <w:r>
              <w:rPr>
                <w:sz w:val="22"/>
              </w:rPr>
              <w:t xml:space="preserve"> et depuis l’espace par des satellites, est l’un des indicateurs du climat global. Il en existe d’autres : </w:t>
            </w:r>
            <w:r>
              <w:rPr>
                <w:sz w:val="22"/>
              </w:rPr>
              <w:lastRenderedPageBreak/>
              <w:t xml:space="preserve">volume des océans, étendue des glaces et des glaciers, </w:t>
            </w:r>
          </w:p>
          <w:p w14:paraId="716C5089" w14:textId="195C192B" w:rsidR="00E04D11" w:rsidRPr="00C00448" w:rsidRDefault="00E04D11" w:rsidP="00E04D11">
            <w:pPr>
              <w:pStyle w:val="Default"/>
              <w:rPr>
                <w:sz w:val="22"/>
                <w:szCs w:val="22"/>
              </w:rPr>
            </w:pPr>
            <w:r>
              <w:rPr>
                <w:sz w:val="22"/>
              </w:rPr>
              <w:t>Le climat de la Terre présente une variabilité naturelle sur différentes échelles de temps. Toutefois, depuis plusieurs centaines de milliers d’années, jamais la concentration du CO</w:t>
            </w:r>
            <w:r>
              <w:rPr>
                <w:sz w:val="22"/>
                <w:vertAlign w:val="subscript"/>
              </w:rPr>
              <w:t>2</w:t>
            </w:r>
            <w:r>
              <w:rPr>
                <w:sz w:val="22"/>
              </w:rPr>
              <w:t xml:space="preserve"> atmosphérique n’a augmenté aussi rapidement qu’actuellement. </w:t>
            </w:r>
          </w:p>
        </w:tc>
        <w:tc>
          <w:tcPr>
            <w:tcW w:w="3649" w:type="dxa"/>
          </w:tcPr>
          <w:p w14:paraId="60A8C356" w14:textId="77777777" w:rsidR="00E04D11" w:rsidRDefault="00E04D11" w:rsidP="00E04D11">
            <w:pPr>
              <w:spacing w:after="2" w:line="274" w:lineRule="auto"/>
              <w:ind w:left="1"/>
            </w:pPr>
            <w:r>
              <w:rPr>
                <w:sz w:val="22"/>
                <w:szCs w:val="22"/>
              </w:rPr>
              <w:lastRenderedPageBreak/>
              <w:t xml:space="preserve"> </w:t>
            </w:r>
            <w:r>
              <w:rPr>
                <w:sz w:val="22"/>
              </w:rPr>
              <w:t xml:space="preserve">Distinguer sur un document des données relevant du climat d’une part, de la météorologie d’autre part. </w:t>
            </w:r>
          </w:p>
          <w:p w14:paraId="455A9E45" w14:textId="77777777" w:rsidR="00E04D11" w:rsidRDefault="00E04D11" w:rsidP="00E04D11">
            <w:pPr>
              <w:spacing w:after="139" w:line="259" w:lineRule="auto"/>
              <w:ind w:left="1"/>
            </w:pPr>
            <w:r>
              <w:rPr>
                <w:sz w:val="22"/>
              </w:rPr>
              <w:t xml:space="preserve"> </w:t>
            </w:r>
          </w:p>
          <w:p w14:paraId="4076A9B6" w14:textId="77777777" w:rsidR="00E04D11" w:rsidRDefault="00E04D11" w:rsidP="00E04D11">
            <w:pPr>
              <w:spacing w:after="136" w:line="259" w:lineRule="auto"/>
              <w:ind w:left="1"/>
            </w:pPr>
            <w:r>
              <w:rPr>
                <w:sz w:val="22"/>
              </w:rPr>
              <w:t xml:space="preserve"> </w:t>
            </w:r>
          </w:p>
          <w:p w14:paraId="2359937F" w14:textId="77777777" w:rsidR="00E04D11" w:rsidRDefault="00E04D11" w:rsidP="00E04D11">
            <w:pPr>
              <w:spacing w:after="139" w:line="259" w:lineRule="auto"/>
              <w:ind w:left="1"/>
            </w:pPr>
            <w:r>
              <w:rPr>
                <w:sz w:val="22"/>
              </w:rPr>
              <w:t xml:space="preserve"> </w:t>
            </w:r>
          </w:p>
          <w:p w14:paraId="3E7C2396" w14:textId="77777777" w:rsidR="00E04D11" w:rsidRDefault="00E04D11" w:rsidP="00E04D11">
            <w:pPr>
              <w:spacing w:after="118" w:line="276" w:lineRule="auto"/>
              <w:ind w:left="1"/>
            </w:pPr>
            <w:r>
              <w:rPr>
                <w:sz w:val="22"/>
              </w:rPr>
              <w:t xml:space="preserve">Identifier des tendances d’évolution de la température sur plusieurs échelles de temps à partir de graphiques. </w:t>
            </w:r>
          </w:p>
          <w:p w14:paraId="3B6E1107" w14:textId="77777777" w:rsidR="00E04D11" w:rsidRDefault="00E04D11" w:rsidP="00E04D11">
            <w:pPr>
              <w:spacing w:after="139" w:line="259" w:lineRule="auto"/>
              <w:ind w:left="1"/>
            </w:pPr>
            <w:r>
              <w:rPr>
                <w:sz w:val="22"/>
              </w:rPr>
              <w:t xml:space="preserve"> </w:t>
            </w:r>
          </w:p>
          <w:p w14:paraId="089003BA" w14:textId="77777777" w:rsidR="00E04D11" w:rsidRDefault="00E04D11" w:rsidP="00E04D11">
            <w:pPr>
              <w:spacing w:after="139" w:line="259" w:lineRule="auto"/>
              <w:ind w:left="1"/>
            </w:pPr>
            <w:r>
              <w:rPr>
                <w:sz w:val="22"/>
              </w:rPr>
              <w:t xml:space="preserve"> </w:t>
            </w:r>
          </w:p>
          <w:p w14:paraId="17EBA34E" w14:textId="77777777" w:rsidR="00E04D11" w:rsidRDefault="00E04D11" w:rsidP="00E04D11">
            <w:pPr>
              <w:spacing w:after="122" w:line="274" w:lineRule="auto"/>
              <w:ind w:left="1"/>
            </w:pPr>
            <w:r>
              <w:rPr>
                <w:sz w:val="22"/>
              </w:rPr>
              <w:t xml:space="preserve">Identifier des traces géologiques de variations climatiques passées (pollens, glaciers). </w:t>
            </w:r>
          </w:p>
          <w:p w14:paraId="635A8683" w14:textId="409C0CB8" w:rsidR="00E04D11" w:rsidRPr="00C00448" w:rsidRDefault="00E04D11" w:rsidP="00E04D11">
            <w:pPr>
              <w:pStyle w:val="Default"/>
              <w:rPr>
                <w:sz w:val="22"/>
                <w:szCs w:val="22"/>
              </w:rPr>
            </w:pPr>
          </w:p>
        </w:tc>
        <w:tc>
          <w:tcPr>
            <w:tcW w:w="2410" w:type="dxa"/>
            <w:shd w:val="clear" w:color="auto" w:fill="BDD6EE" w:themeFill="accent5" w:themeFillTint="66"/>
          </w:tcPr>
          <w:p w14:paraId="3A462BE7" w14:textId="12862EC4" w:rsidR="00E04D11" w:rsidRPr="004E44AC" w:rsidRDefault="00E04D11" w:rsidP="00E04D11">
            <w:pPr>
              <w:widowControl/>
              <w:kinsoku/>
              <w:autoSpaceDE w:val="0"/>
              <w:autoSpaceDN w:val="0"/>
              <w:adjustRightInd w:val="0"/>
              <w:rPr>
                <w:rFonts w:ascii="Cambria" w:hAnsi="Cambria"/>
                <w:b/>
                <w:bCs/>
                <w:iCs/>
                <w:sz w:val="22"/>
                <w:szCs w:val="22"/>
              </w:rPr>
            </w:pPr>
            <w:r w:rsidRPr="004E44AC">
              <w:rPr>
                <w:rFonts w:ascii="Cambria" w:eastAsiaTheme="minorHAnsi" w:hAnsi="Cambria" w:cs="Arial"/>
                <w:sz w:val="22"/>
                <w:szCs w:val="22"/>
                <w:lang w:eastAsia="en-US"/>
              </w:rPr>
              <w:t xml:space="preserve"> </w:t>
            </w:r>
          </w:p>
          <w:p w14:paraId="0C091076" w14:textId="52C93231" w:rsidR="00E04D11" w:rsidRPr="004E44AC" w:rsidRDefault="00E04D11" w:rsidP="00E04D11">
            <w:pPr>
              <w:pStyle w:val="Default"/>
              <w:rPr>
                <w:rFonts w:ascii="Cambria" w:hAnsi="Cambria"/>
                <w:b/>
                <w:bCs/>
                <w:iCs/>
                <w:color w:val="auto"/>
                <w:sz w:val="22"/>
                <w:szCs w:val="22"/>
              </w:rPr>
            </w:pPr>
          </w:p>
          <w:p w14:paraId="0B976BE7" w14:textId="77777777" w:rsidR="00E04D11" w:rsidRPr="0022323F" w:rsidRDefault="00E04D11" w:rsidP="00E04D11">
            <w:pPr>
              <w:pStyle w:val="Default"/>
              <w:rPr>
                <w:rFonts w:ascii="Cambria" w:hAnsi="Cambria"/>
                <w:b/>
                <w:bCs/>
                <w:iCs/>
                <w:sz w:val="22"/>
                <w:szCs w:val="22"/>
              </w:rPr>
            </w:pPr>
          </w:p>
          <w:p w14:paraId="22E73B6A" w14:textId="70FAFBFB" w:rsidR="00E04D11" w:rsidRPr="003874C1" w:rsidRDefault="00E04D11" w:rsidP="00E04D11">
            <w:pPr>
              <w:rPr>
                <w:rFonts w:ascii="Cambria" w:hAnsi="Cambria"/>
              </w:rPr>
            </w:pPr>
          </w:p>
        </w:tc>
        <w:tc>
          <w:tcPr>
            <w:tcW w:w="2551" w:type="dxa"/>
          </w:tcPr>
          <w:p w14:paraId="2C2D7D5F" w14:textId="77777777" w:rsidR="00E04D11" w:rsidRDefault="00E04D11" w:rsidP="00E04D11">
            <w:pPr>
              <w:rPr>
                <w:rFonts w:ascii="Cambria" w:hAnsi="Cambria"/>
              </w:rPr>
            </w:pPr>
          </w:p>
          <w:p w14:paraId="1BDF1399" w14:textId="435DB9DB" w:rsidR="00E04D11" w:rsidRPr="000F1C43" w:rsidRDefault="00E04D11" w:rsidP="00E04D11">
            <w:pPr>
              <w:rPr>
                <w:rFonts w:ascii="Cambria" w:hAnsi="Cambria"/>
              </w:rPr>
            </w:pPr>
          </w:p>
        </w:tc>
        <w:tc>
          <w:tcPr>
            <w:tcW w:w="3395" w:type="dxa"/>
          </w:tcPr>
          <w:p w14:paraId="57FF9000" w14:textId="0C531712" w:rsidR="00E04D11" w:rsidRPr="009E745E" w:rsidRDefault="00E04D11" w:rsidP="00E04D11">
            <w:pPr>
              <w:rPr>
                <w:rFonts w:ascii="Cambria" w:hAnsi="Cambria"/>
                <w:sz w:val="22"/>
                <w:szCs w:val="22"/>
              </w:rPr>
            </w:pPr>
          </w:p>
        </w:tc>
      </w:tr>
      <w:tr w:rsidR="00E04D11" w14:paraId="698E978A" w14:textId="77777777" w:rsidTr="6554EDDE">
        <w:trPr>
          <w:gridAfter w:val="1"/>
          <w:wAfter w:w="47" w:type="dxa"/>
        </w:trPr>
        <w:tc>
          <w:tcPr>
            <w:tcW w:w="2872" w:type="dxa"/>
            <w:vAlign w:val="bottom"/>
          </w:tcPr>
          <w:p w14:paraId="4F47FC99" w14:textId="77777777" w:rsidR="00D034C5" w:rsidRDefault="00D034C5" w:rsidP="00D034C5">
            <w:pPr>
              <w:spacing w:after="116"/>
              <w:ind w:right="50"/>
            </w:pPr>
            <w:r>
              <w:rPr>
                <w:sz w:val="22"/>
              </w:rPr>
              <w:t>Depuis un siècle et demi, on mesure un réchauffement climatique global (environ +1°C). Celui-ci est la réponse du système climatique à l’augmentation du forçage radiatif (différence entre l'énergie radiative reçue et l'énergie radiative émise) due aux émissions de gaz à effet de serre (GES) dans l’atmosphère : CO</w:t>
            </w:r>
            <w:r>
              <w:rPr>
                <w:sz w:val="22"/>
                <w:vertAlign w:val="subscript"/>
              </w:rPr>
              <w:t>2</w:t>
            </w:r>
            <w:r>
              <w:rPr>
                <w:sz w:val="22"/>
              </w:rPr>
              <w:t>, CH</w:t>
            </w:r>
            <w:r>
              <w:rPr>
                <w:sz w:val="22"/>
                <w:vertAlign w:val="subscript"/>
              </w:rPr>
              <w:t>4</w:t>
            </w:r>
            <w:r>
              <w:rPr>
                <w:sz w:val="22"/>
              </w:rPr>
              <w:t>, N</w:t>
            </w:r>
            <w:r>
              <w:rPr>
                <w:sz w:val="22"/>
                <w:vertAlign w:val="subscript"/>
              </w:rPr>
              <w:t>2</w:t>
            </w:r>
            <w:r>
              <w:rPr>
                <w:sz w:val="22"/>
              </w:rPr>
              <w:t xml:space="preserve">O et vapeur d’eau principalement. </w:t>
            </w:r>
          </w:p>
          <w:p w14:paraId="33C95A54" w14:textId="77777777" w:rsidR="00D034C5" w:rsidRDefault="00D034C5" w:rsidP="00D034C5">
            <w:pPr>
              <w:spacing w:after="119" w:line="275" w:lineRule="auto"/>
              <w:ind w:right="50"/>
            </w:pPr>
            <w:r>
              <w:rPr>
                <w:sz w:val="22"/>
              </w:rPr>
              <w:t xml:space="preserve">Lorsque la concentration des GES augmente, l’atmosphère absorbe davantage le rayonnement thermique </w:t>
            </w:r>
            <w:r>
              <w:rPr>
                <w:sz w:val="22"/>
              </w:rPr>
              <w:lastRenderedPageBreak/>
              <w:t xml:space="preserve">infrarouge émis par la surface de la Terre. En retour, il en résulte une augmentation de la puissance radiative reçue par le sol de la part de l’atmosphère.  </w:t>
            </w:r>
          </w:p>
          <w:p w14:paraId="4E9B26DA" w14:textId="77777777" w:rsidR="00D034C5" w:rsidRDefault="00D034C5" w:rsidP="00D034C5">
            <w:pPr>
              <w:spacing w:after="118" w:line="276" w:lineRule="auto"/>
              <w:ind w:right="51"/>
            </w:pPr>
            <w:r>
              <w:rPr>
                <w:sz w:val="22"/>
              </w:rPr>
              <w:t xml:space="preserve">Cette puissance additionnelle entraîne une perturbation de l’équilibre radiatif qui existait à l’ère préindustrielle.  </w:t>
            </w:r>
          </w:p>
          <w:p w14:paraId="05E74D9F" w14:textId="7D0745B5" w:rsidR="00E04D11" w:rsidRDefault="00D034C5" w:rsidP="00D034C5">
            <w:pPr>
              <w:spacing w:after="118" w:line="275" w:lineRule="auto"/>
              <w:ind w:right="50"/>
              <w:rPr>
                <w:sz w:val="22"/>
              </w:rPr>
            </w:pPr>
            <w:r>
              <w:rPr>
                <w:sz w:val="22"/>
              </w:rPr>
              <w:t>L’énergie supplémentaire associée est essentiellement stockée par les océans, mais également par l’air et les sols, ce qui se traduit par une augmentation de la température moyenne à la surface de la Terre et la montée du niveau des océans</w:t>
            </w:r>
          </w:p>
        </w:tc>
        <w:tc>
          <w:tcPr>
            <w:tcW w:w="3649" w:type="dxa"/>
          </w:tcPr>
          <w:p w14:paraId="1BF60485" w14:textId="77777777" w:rsidR="00D034C5" w:rsidRDefault="00D034C5" w:rsidP="00D034C5">
            <w:pPr>
              <w:spacing w:line="276" w:lineRule="auto"/>
              <w:ind w:left="1" w:right="55"/>
            </w:pPr>
            <w:r>
              <w:rPr>
                <w:sz w:val="22"/>
              </w:rPr>
              <w:lastRenderedPageBreak/>
              <w:t xml:space="preserve">Déterminer la capacité d’un gaz à influencer l’effet de serre atmosphérique à partir de son spectre d’absorption des ondes électromagnétiques. </w:t>
            </w:r>
          </w:p>
          <w:p w14:paraId="48181617" w14:textId="77777777" w:rsidR="00D034C5" w:rsidRDefault="00D034C5" w:rsidP="00D034C5">
            <w:pPr>
              <w:spacing w:after="139" w:line="259" w:lineRule="auto"/>
              <w:ind w:left="1"/>
            </w:pPr>
            <w:r>
              <w:rPr>
                <w:sz w:val="22"/>
              </w:rPr>
              <w:t xml:space="preserve"> </w:t>
            </w:r>
          </w:p>
          <w:p w14:paraId="5F145DE6" w14:textId="77777777" w:rsidR="00D034C5" w:rsidRDefault="00D034C5" w:rsidP="00D034C5">
            <w:pPr>
              <w:spacing w:after="139" w:line="259" w:lineRule="auto"/>
              <w:ind w:left="1"/>
            </w:pPr>
            <w:r>
              <w:rPr>
                <w:sz w:val="22"/>
              </w:rPr>
              <w:t xml:space="preserve"> </w:t>
            </w:r>
          </w:p>
          <w:p w14:paraId="2B632FD3" w14:textId="77777777" w:rsidR="00D034C5" w:rsidRDefault="00D034C5" w:rsidP="00D034C5">
            <w:pPr>
              <w:spacing w:after="139" w:line="259" w:lineRule="auto"/>
              <w:ind w:left="1"/>
            </w:pPr>
            <w:r>
              <w:rPr>
                <w:sz w:val="22"/>
              </w:rPr>
              <w:t xml:space="preserve"> </w:t>
            </w:r>
          </w:p>
          <w:p w14:paraId="172E8161" w14:textId="77777777" w:rsidR="00D034C5" w:rsidRDefault="00D034C5" w:rsidP="00D034C5">
            <w:pPr>
              <w:spacing w:after="118" w:line="275" w:lineRule="auto"/>
              <w:ind w:left="1" w:right="54"/>
            </w:pPr>
            <w:r>
              <w:rPr>
                <w:sz w:val="22"/>
              </w:rPr>
              <w:t xml:space="preserve">Interpréter des documents donnant la variation d’un indicateur climatique en fonction du temps (date de vendanges, niveau de la mer, extension d’un glacier, ...). </w:t>
            </w:r>
          </w:p>
          <w:p w14:paraId="6E2623E7" w14:textId="77777777" w:rsidR="00D034C5" w:rsidRDefault="00D034C5" w:rsidP="00D034C5">
            <w:pPr>
              <w:spacing w:line="383" w:lineRule="auto"/>
              <w:ind w:left="1" w:right="4945"/>
            </w:pPr>
            <w:r>
              <w:rPr>
                <w:sz w:val="22"/>
              </w:rPr>
              <w:t xml:space="preserve">  </w:t>
            </w:r>
          </w:p>
          <w:p w14:paraId="483C4190" w14:textId="77777777" w:rsidR="00D034C5" w:rsidRDefault="00D034C5" w:rsidP="00D034C5">
            <w:pPr>
              <w:spacing w:after="81" w:line="259" w:lineRule="auto"/>
              <w:ind w:left="1"/>
            </w:pPr>
            <w:r>
              <w:rPr>
                <w:sz w:val="22"/>
              </w:rPr>
              <w:t xml:space="preserve"> </w:t>
            </w:r>
          </w:p>
          <w:p w14:paraId="4AAC19D6" w14:textId="77777777" w:rsidR="00D034C5" w:rsidRDefault="00D034C5" w:rsidP="00D034C5">
            <w:pPr>
              <w:spacing w:after="189" w:line="259" w:lineRule="auto"/>
              <w:ind w:left="1"/>
            </w:pPr>
            <w:r>
              <w:rPr>
                <w:sz w:val="16"/>
              </w:rPr>
              <w:lastRenderedPageBreak/>
              <w:t xml:space="preserve"> </w:t>
            </w:r>
          </w:p>
          <w:p w14:paraId="15997BF8" w14:textId="47680F7E" w:rsidR="00E04D11" w:rsidRDefault="00D034C5" w:rsidP="00D034C5">
            <w:pPr>
              <w:pStyle w:val="Default"/>
              <w:rPr>
                <w:sz w:val="22"/>
                <w:szCs w:val="22"/>
              </w:rPr>
            </w:pPr>
            <w:r>
              <w:rPr>
                <w:sz w:val="22"/>
              </w:rPr>
              <w:t>Analyser la variation au cours du temps de certaines grandeurs telles que l’augmentation de la teneur atmosphérique en CO</w:t>
            </w:r>
            <w:r>
              <w:rPr>
                <w:sz w:val="22"/>
                <w:vertAlign w:val="subscript"/>
              </w:rPr>
              <w:t>2</w:t>
            </w:r>
            <w:r>
              <w:rPr>
                <w:sz w:val="22"/>
              </w:rPr>
              <w:t>, la variation de température moyenne, des indicateurs de l’activité économique mondiale.</w:t>
            </w:r>
          </w:p>
        </w:tc>
        <w:tc>
          <w:tcPr>
            <w:tcW w:w="2410" w:type="dxa"/>
            <w:shd w:val="clear" w:color="auto" w:fill="BDD6EE" w:themeFill="accent5" w:themeFillTint="66"/>
          </w:tcPr>
          <w:p w14:paraId="3C359D34" w14:textId="77777777" w:rsidR="00E04D11" w:rsidRPr="004E44AC" w:rsidRDefault="00E04D11" w:rsidP="00E04D11">
            <w:pPr>
              <w:widowControl/>
              <w:kinsoku/>
              <w:autoSpaceDE w:val="0"/>
              <w:autoSpaceDN w:val="0"/>
              <w:adjustRightInd w:val="0"/>
              <w:rPr>
                <w:rFonts w:ascii="Cambria" w:eastAsiaTheme="minorHAnsi" w:hAnsi="Cambria" w:cs="Arial"/>
                <w:sz w:val="22"/>
                <w:szCs w:val="22"/>
                <w:lang w:eastAsia="en-US"/>
              </w:rPr>
            </w:pPr>
          </w:p>
        </w:tc>
        <w:tc>
          <w:tcPr>
            <w:tcW w:w="2551" w:type="dxa"/>
          </w:tcPr>
          <w:p w14:paraId="6FDCB1FF" w14:textId="77777777" w:rsidR="00E04D11" w:rsidRDefault="00E04D11" w:rsidP="00E04D11">
            <w:pPr>
              <w:rPr>
                <w:rFonts w:ascii="Cambria" w:hAnsi="Cambria"/>
              </w:rPr>
            </w:pPr>
          </w:p>
        </w:tc>
        <w:tc>
          <w:tcPr>
            <w:tcW w:w="3395" w:type="dxa"/>
          </w:tcPr>
          <w:p w14:paraId="00A5893D" w14:textId="77777777" w:rsidR="00E04D11" w:rsidRPr="009E745E" w:rsidRDefault="00E04D11" w:rsidP="00E04D11">
            <w:pPr>
              <w:rPr>
                <w:rFonts w:ascii="Cambria" w:hAnsi="Cambria"/>
                <w:sz w:val="22"/>
                <w:szCs w:val="22"/>
              </w:rPr>
            </w:pPr>
          </w:p>
        </w:tc>
      </w:tr>
      <w:tr w:rsidR="00E04D11" w14:paraId="7EAE012B" w14:textId="77777777" w:rsidTr="6554EDDE">
        <w:trPr>
          <w:gridAfter w:val="1"/>
          <w:wAfter w:w="47" w:type="dxa"/>
        </w:trPr>
        <w:tc>
          <w:tcPr>
            <w:tcW w:w="2872" w:type="dxa"/>
            <w:vAlign w:val="bottom"/>
          </w:tcPr>
          <w:p w14:paraId="4261732F" w14:textId="77777777" w:rsidR="00D034C5" w:rsidRDefault="00D034C5" w:rsidP="00D034C5">
            <w:pPr>
              <w:spacing w:after="120" w:line="239" w:lineRule="auto"/>
              <w:ind w:right="53"/>
            </w:pPr>
            <w:r>
              <w:rPr>
                <w:sz w:val="22"/>
              </w:rPr>
              <w:t xml:space="preserve">L’évolution de la température terrestre moyenne résulte de plusieurs effets amplificateurs (rétroaction positive), dont :  </w:t>
            </w:r>
          </w:p>
          <w:p w14:paraId="2F8CBAE6" w14:textId="77777777" w:rsidR="00D034C5" w:rsidRDefault="00D034C5" w:rsidP="00D034C5">
            <w:pPr>
              <w:spacing w:after="62" w:line="259" w:lineRule="auto"/>
            </w:pPr>
            <w:r>
              <w:rPr>
                <w:sz w:val="22"/>
              </w:rPr>
              <w:t xml:space="preserve"> </w:t>
            </w:r>
          </w:p>
          <w:p w14:paraId="44EAE7D1" w14:textId="77777777" w:rsidR="00D034C5" w:rsidRDefault="00D034C5" w:rsidP="00D034C5">
            <w:pPr>
              <w:widowControl/>
              <w:numPr>
                <w:ilvl w:val="0"/>
                <w:numId w:val="9"/>
              </w:numPr>
              <w:kinsoku/>
              <w:spacing w:after="86" w:line="238" w:lineRule="auto"/>
              <w:ind w:hanging="360"/>
              <w:jc w:val="both"/>
            </w:pPr>
            <w:r>
              <w:rPr>
                <w:sz w:val="22"/>
              </w:rPr>
              <w:t xml:space="preserve">l’augmentation de la concentration en vapeur d’eau (gaz à </w:t>
            </w:r>
            <w:r>
              <w:rPr>
                <w:sz w:val="22"/>
              </w:rPr>
              <w:lastRenderedPageBreak/>
              <w:t xml:space="preserve">effet de serre) dans l’atmosphère ; </w:t>
            </w:r>
          </w:p>
          <w:p w14:paraId="02CC03BD" w14:textId="77777777" w:rsidR="00D034C5" w:rsidRDefault="00D034C5" w:rsidP="00D034C5">
            <w:pPr>
              <w:widowControl/>
              <w:numPr>
                <w:ilvl w:val="0"/>
                <w:numId w:val="9"/>
              </w:numPr>
              <w:kinsoku/>
              <w:spacing w:after="86" w:line="238" w:lineRule="auto"/>
              <w:ind w:hanging="360"/>
              <w:jc w:val="both"/>
            </w:pPr>
            <w:r>
              <w:rPr>
                <w:sz w:val="22"/>
              </w:rPr>
              <w:t xml:space="preserve">la décroissance de la surface couverte par les glaces et diminution de l’albédo terrestre ; </w:t>
            </w:r>
          </w:p>
          <w:p w14:paraId="67B80FB9" w14:textId="77777777" w:rsidR="00D034C5" w:rsidRDefault="00D034C5" w:rsidP="00D034C5">
            <w:pPr>
              <w:widowControl/>
              <w:numPr>
                <w:ilvl w:val="0"/>
                <w:numId w:val="9"/>
              </w:numPr>
              <w:kinsoku/>
              <w:spacing w:after="242" w:line="238" w:lineRule="auto"/>
              <w:ind w:hanging="360"/>
              <w:jc w:val="both"/>
            </w:pPr>
            <w:r>
              <w:rPr>
                <w:sz w:val="22"/>
              </w:rPr>
              <w:t xml:space="preserve">le dégel partiel du permafrost provoquant une libération de GES dans l’atmosphère. </w:t>
            </w:r>
          </w:p>
          <w:p w14:paraId="1B40108A" w14:textId="77777777" w:rsidR="00D034C5" w:rsidRDefault="00D034C5" w:rsidP="00D034C5">
            <w:pPr>
              <w:spacing w:after="120" w:line="239" w:lineRule="auto"/>
              <w:ind w:right="51"/>
            </w:pPr>
            <w:r>
              <w:rPr>
                <w:sz w:val="22"/>
              </w:rPr>
              <w:t xml:space="preserve">L’océan a un rôle amortisseur en absorbant à sa surface une fraction importante de l’apport additionnel d’énergie. Cela conduit à une élévation du niveau de la mer causée par la dilatation thermique de l'eau. À celle-ci s’ajoute la fusion des glaces continentales. </w:t>
            </w:r>
          </w:p>
          <w:p w14:paraId="03C750EF" w14:textId="77777777" w:rsidR="00D034C5" w:rsidRDefault="00D034C5" w:rsidP="00D034C5">
            <w:pPr>
              <w:spacing w:after="120" w:line="239" w:lineRule="auto"/>
              <w:ind w:right="50"/>
            </w:pPr>
            <w:r>
              <w:rPr>
                <w:sz w:val="22"/>
              </w:rPr>
              <w:t xml:space="preserve">Cette accumulation d’énergie dans les océans rend le changement climatique irréversible à des échelles de temps de plusieurs siècles. </w:t>
            </w:r>
          </w:p>
          <w:p w14:paraId="6351711E" w14:textId="1078894A" w:rsidR="00E04D11" w:rsidRDefault="00D034C5" w:rsidP="00D034C5">
            <w:pPr>
              <w:spacing w:after="118" w:line="275" w:lineRule="auto"/>
              <w:ind w:right="50"/>
              <w:rPr>
                <w:sz w:val="22"/>
              </w:rPr>
            </w:pPr>
            <w:r>
              <w:rPr>
                <w:sz w:val="22"/>
              </w:rPr>
              <w:t>À court terme, un accroissement de la végétalisation constitue un puits de CO</w:t>
            </w:r>
            <w:r>
              <w:rPr>
                <w:sz w:val="22"/>
                <w:vertAlign w:val="subscript"/>
              </w:rPr>
              <w:t xml:space="preserve">2 </w:t>
            </w:r>
            <w:r>
              <w:rPr>
                <w:sz w:val="22"/>
              </w:rPr>
              <w:t xml:space="preserve">et a donc un </w:t>
            </w:r>
            <w:r>
              <w:rPr>
                <w:sz w:val="22"/>
              </w:rPr>
              <w:lastRenderedPageBreak/>
              <w:t xml:space="preserve">effet de rétroaction négative (stabilisatrice).   </w:t>
            </w:r>
          </w:p>
        </w:tc>
        <w:tc>
          <w:tcPr>
            <w:tcW w:w="3649" w:type="dxa"/>
          </w:tcPr>
          <w:p w14:paraId="43FAD70A" w14:textId="77777777" w:rsidR="00D034C5" w:rsidRDefault="00D034C5" w:rsidP="00D034C5">
            <w:pPr>
              <w:spacing w:after="120" w:line="239" w:lineRule="auto"/>
              <w:ind w:left="1" w:right="52"/>
            </w:pPr>
            <w:r>
              <w:rPr>
                <w:sz w:val="22"/>
              </w:rPr>
              <w:lastRenderedPageBreak/>
              <w:t xml:space="preserve">Identifier les relations de causalité (actions et rétroactions) qui sous-tendent la dynamique d’un système. </w:t>
            </w:r>
          </w:p>
          <w:p w14:paraId="091865CA" w14:textId="77777777" w:rsidR="00D034C5" w:rsidRDefault="00D034C5" w:rsidP="00D034C5">
            <w:pPr>
              <w:spacing w:after="98" w:line="259" w:lineRule="auto"/>
              <w:ind w:left="1"/>
            </w:pPr>
            <w:r>
              <w:rPr>
                <w:color w:val="FF0000"/>
                <w:sz w:val="22"/>
              </w:rPr>
              <w:t xml:space="preserve"> </w:t>
            </w:r>
          </w:p>
          <w:p w14:paraId="0805B0FB" w14:textId="77777777" w:rsidR="00D034C5" w:rsidRDefault="00D034C5" w:rsidP="00D034C5">
            <w:pPr>
              <w:spacing w:after="95" w:line="259" w:lineRule="auto"/>
              <w:ind w:left="1"/>
            </w:pPr>
            <w:r>
              <w:rPr>
                <w:color w:val="FF0000"/>
                <w:sz w:val="22"/>
              </w:rPr>
              <w:t xml:space="preserve"> </w:t>
            </w:r>
          </w:p>
          <w:p w14:paraId="5D63424E" w14:textId="77777777" w:rsidR="00D034C5" w:rsidRDefault="00D034C5" w:rsidP="00D034C5">
            <w:pPr>
              <w:spacing w:after="98" w:line="259" w:lineRule="auto"/>
              <w:ind w:left="1"/>
            </w:pPr>
            <w:r>
              <w:rPr>
                <w:color w:val="FF0000"/>
                <w:sz w:val="22"/>
              </w:rPr>
              <w:t xml:space="preserve"> </w:t>
            </w:r>
          </w:p>
          <w:p w14:paraId="43F3A239" w14:textId="77777777" w:rsidR="00D034C5" w:rsidRDefault="00D034C5" w:rsidP="00D034C5">
            <w:pPr>
              <w:spacing w:after="98" w:line="259" w:lineRule="auto"/>
              <w:ind w:left="1"/>
            </w:pPr>
            <w:r>
              <w:rPr>
                <w:sz w:val="22"/>
              </w:rPr>
              <w:t xml:space="preserve"> </w:t>
            </w:r>
          </w:p>
          <w:p w14:paraId="74A33028" w14:textId="77777777" w:rsidR="00D034C5" w:rsidRDefault="00D034C5" w:rsidP="00D034C5">
            <w:pPr>
              <w:spacing w:after="98" w:line="259" w:lineRule="auto"/>
              <w:ind w:left="1"/>
            </w:pPr>
            <w:r>
              <w:rPr>
                <w:sz w:val="22"/>
              </w:rPr>
              <w:t xml:space="preserve"> </w:t>
            </w:r>
          </w:p>
          <w:p w14:paraId="337B6B5D" w14:textId="77777777" w:rsidR="00D034C5" w:rsidRDefault="00D034C5" w:rsidP="00D034C5">
            <w:pPr>
              <w:spacing w:line="259" w:lineRule="auto"/>
              <w:ind w:left="1"/>
            </w:pPr>
            <w:r>
              <w:rPr>
                <w:sz w:val="22"/>
              </w:rPr>
              <w:lastRenderedPageBreak/>
              <w:t xml:space="preserve"> </w:t>
            </w:r>
          </w:p>
          <w:p w14:paraId="20D299F1" w14:textId="77777777" w:rsidR="00D034C5" w:rsidRDefault="00D034C5" w:rsidP="00D034C5">
            <w:pPr>
              <w:spacing w:after="120"/>
              <w:ind w:left="1" w:right="53"/>
              <w:rPr>
                <w:sz w:val="22"/>
              </w:rPr>
            </w:pPr>
          </w:p>
          <w:p w14:paraId="4A686D25" w14:textId="77777777" w:rsidR="00D034C5" w:rsidRDefault="00D034C5" w:rsidP="00D034C5">
            <w:pPr>
              <w:spacing w:after="120"/>
              <w:ind w:left="1" w:right="53"/>
            </w:pPr>
            <w:r>
              <w:rPr>
                <w:sz w:val="22"/>
              </w:rPr>
              <w:t xml:space="preserve">Réaliser et interpréter une expérience simple, mettant en évidence la différence d’impact entre la fusion des glaces continentales et des glaces de mer.  </w:t>
            </w:r>
          </w:p>
          <w:p w14:paraId="232FFFEE" w14:textId="77777777" w:rsidR="00D034C5" w:rsidRDefault="00D034C5" w:rsidP="00D034C5">
            <w:pPr>
              <w:spacing w:after="98" w:line="259" w:lineRule="auto"/>
              <w:ind w:left="1"/>
            </w:pPr>
            <w:r>
              <w:rPr>
                <w:color w:val="FF0000"/>
                <w:sz w:val="22"/>
              </w:rPr>
              <w:t xml:space="preserve"> </w:t>
            </w:r>
          </w:p>
          <w:p w14:paraId="466D78B2" w14:textId="037A1EFD" w:rsidR="00E04D11" w:rsidRDefault="00D034C5" w:rsidP="00D034C5">
            <w:pPr>
              <w:pStyle w:val="Default"/>
              <w:rPr>
                <w:sz w:val="22"/>
                <w:szCs w:val="22"/>
              </w:rPr>
            </w:pPr>
            <w:r>
              <w:rPr>
                <w:sz w:val="22"/>
              </w:rPr>
              <w:t>Estimer la variation du volume de l’océan associée à une variation de température donnée, en supposant cette variation limitée à une couche superficielle d’épaisseur donnée.</w:t>
            </w:r>
          </w:p>
        </w:tc>
        <w:tc>
          <w:tcPr>
            <w:tcW w:w="2410" w:type="dxa"/>
            <w:shd w:val="clear" w:color="auto" w:fill="BDD6EE" w:themeFill="accent5" w:themeFillTint="66"/>
          </w:tcPr>
          <w:p w14:paraId="70BC149C" w14:textId="77777777" w:rsidR="00E04D11" w:rsidRPr="004E44AC" w:rsidRDefault="00E04D11" w:rsidP="00E04D11">
            <w:pPr>
              <w:widowControl/>
              <w:kinsoku/>
              <w:autoSpaceDE w:val="0"/>
              <w:autoSpaceDN w:val="0"/>
              <w:adjustRightInd w:val="0"/>
              <w:rPr>
                <w:rFonts w:ascii="Cambria" w:eastAsiaTheme="minorHAnsi" w:hAnsi="Cambria" w:cs="Arial"/>
                <w:sz w:val="22"/>
                <w:szCs w:val="22"/>
                <w:lang w:eastAsia="en-US"/>
              </w:rPr>
            </w:pPr>
          </w:p>
        </w:tc>
        <w:tc>
          <w:tcPr>
            <w:tcW w:w="2551" w:type="dxa"/>
          </w:tcPr>
          <w:p w14:paraId="7A6F9D9A" w14:textId="77777777" w:rsidR="00E04D11" w:rsidRDefault="00E04D11" w:rsidP="00E04D11">
            <w:pPr>
              <w:rPr>
                <w:rFonts w:ascii="Cambria" w:hAnsi="Cambria"/>
              </w:rPr>
            </w:pPr>
          </w:p>
        </w:tc>
        <w:tc>
          <w:tcPr>
            <w:tcW w:w="3395" w:type="dxa"/>
          </w:tcPr>
          <w:p w14:paraId="26FE23BE" w14:textId="77777777" w:rsidR="00E04D11" w:rsidRPr="009E745E" w:rsidRDefault="00E04D11" w:rsidP="00E04D11">
            <w:pPr>
              <w:rPr>
                <w:rFonts w:ascii="Cambria" w:hAnsi="Cambria"/>
                <w:sz w:val="22"/>
                <w:szCs w:val="22"/>
              </w:rPr>
            </w:pPr>
          </w:p>
        </w:tc>
      </w:tr>
      <w:tr w:rsidR="00E04D11" w14:paraId="42C1603E" w14:textId="77777777" w:rsidTr="6554EDDE">
        <w:tc>
          <w:tcPr>
            <w:tcW w:w="14924" w:type="dxa"/>
            <w:gridSpan w:val="6"/>
            <w:vAlign w:val="bottom"/>
          </w:tcPr>
          <w:p w14:paraId="0546BD59" w14:textId="77777777" w:rsidR="00D034C5" w:rsidRDefault="00D034C5" w:rsidP="00D034C5">
            <w:pPr>
              <w:spacing w:after="118" w:line="259" w:lineRule="auto"/>
            </w:pPr>
            <w:r>
              <w:rPr>
                <w:b/>
                <w:color w:val="007F9F"/>
              </w:rPr>
              <w:lastRenderedPageBreak/>
              <w:t xml:space="preserve">Prérequis et limites  </w:t>
            </w:r>
          </w:p>
          <w:p w14:paraId="02063239" w14:textId="05DAB476" w:rsidR="00E04D11" w:rsidRDefault="00D034C5" w:rsidP="00D034C5">
            <w:r>
              <w:rPr>
                <w:sz w:val="22"/>
              </w:rPr>
              <w:t>Les notions d’équilibre radiatif de la Terre et d’effet de serre atmosphérique, étudiées en classe de première, sont mobilisées. L’étude des paramètres orbitaux de la Terre et de leur influence sur le climat n’est pas au programme</w:t>
            </w:r>
          </w:p>
        </w:tc>
      </w:tr>
      <w:tr w:rsidR="00E04D11" w14:paraId="5BB1EFE0" w14:textId="77777777" w:rsidTr="6554EDDE">
        <w:tc>
          <w:tcPr>
            <w:tcW w:w="14924" w:type="dxa"/>
            <w:gridSpan w:val="6"/>
            <w:vAlign w:val="center"/>
          </w:tcPr>
          <w:p w14:paraId="5DE730EB" w14:textId="77777777" w:rsidR="00AB0022" w:rsidRDefault="00AB0022" w:rsidP="00AB0022">
            <w:pPr>
              <w:spacing w:after="75" w:line="259" w:lineRule="auto"/>
            </w:pPr>
            <w:r>
              <w:rPr>
                <w:b/>
                <w:color w:val="007F9F"/>
              </w:rPr>
              <w:t xml:space="preserve">1.3 Le climat du futur </w:t>
            </w:r>
          </w:p>
          <w:p w14:paraId="11142B54" w14:textId="094C9299" w:rsidR="00AB0022" w:rsidRPr="00AB0022" w:rsidRDefault="00AB0022" w:rsidP="00AB0022">
            <w:pPr>
              <w:spacing w:before="72"/>
              <w:rPr>
                <w:sz w:val="22"/>
                <w:szCs w:val="22"/>
              </w:rPr>
            </w:pPr>
            <w:r>
              <w:rPr>
                <w:i/>
                <w:sz w:val="22"/>
              </w:rPr>
              <w:t>L’analyse du système climatique, réalisée à l’aide de modèles numériques, repose sur des mesures et des calculs faisant appel à des lois physiques, chimiques, biologiques connues. Assorties d’hypothèses portant sur l’évolution de la production des gaz à effet de serre, les projections issues de ces modèles dessinent des fourchettes d’évolution du système climatique au XXI</w:t>
            </w:r>
            <w:r>
              <w:rPr>
                <w:i/>
                <w:sz w:val="22"/>
                <w:vertAlign w:val="superscript"/>
              </w:rPr>
              <w:t>e</w:t>
            </w:r>
            <w:r>
              <w:rPr>
                <w:i/>
                <w:sz w:val="22"/>
              </w:rPr>
              <w:t xml:space="preserve"> siècle.  </w:t>
            </w:r>
          </w:p>
          <w:p w14:paraId="27AABA18" w14:textId="7A2D18D5" w:rsidR="00E04D11" w:rsidRPr="00D906D4" w:rsidRDefault="00E04D11" w:rsidP="00E04D11">
            <w:pPr>
              <w:pStyle w:val="Default"/>
              <w:rPr>
                <w:sz w:val="22"/>
                <w:szCs w:val="22"/>
              </w:rPr>
            </w:pPr>
          </w:p>
        </w:tc>
      </w:tr>
      <w:tr w:rsidR="00DD6998" w14:paraId="7037739C" w14:textId="77777777" w:rsidTr="6554EDDE">
        <w:trPr>
          <w:gridAfter w:val="1"/>
          <w:wAfter w:w="47" w:type="dxa"/>
        </w:trPr>
        <w:tc>
          <w:tcPr>
            <w:tcW w:w="2872" w:type="dxa"/>
            <w:vAlign w:val="center"/>
          </w:tcPr>
          <w:p w14:paraId="66121AD1" w14:textId="039ED49C" w:rsidR="00DD6998" w:rsidRDefault="00DD6998" w:rsidP="00DD6998">
            <w:pPr>
              <w:pStyle w:val="Default"/>
              <w:jc w:val="center"/>
              <w:rPr>
                <w:sz w:val="22"/>
                <w:szCs w:val="22"/>
              </w:rPr>
            </w:pPr>
            <w:r>
              <w:rPr>
                <w:b/>
                <w:bCs/>
                <w:sz w:val="22"/>
                <w:szCs w:val="22"/>
              </w:rPr>
              <w:t>Savoirs</w:t>
            </w:r>
          </w:p>
        </w:tc>
        <w:tc>
          <w:tcPr>
            <w:tcW w:w="3649" w:type="dxa"/>
            <w:vAlign w:val="center"/>
          </w:tcPr>
          <w:p w14:paraId="5F9BBCA2" w14:textId="190D9397" w:rsidR="00DD6998" w:rsidRDefault="00DD6998" w:rsidP="00DD6998">
            <w:pPr>
              <w:pStyle w:val="Default"/>
              <w:rPr>
                <w:sz w:val="22"/>
                <w:szCs w:val="22"/>
              </w:rPr>
            </w:pPr>
            <w:r>
              <w:rPr>
                <w:b/>
                <w:bCs/>
                <w:sz w:val="22"/>
                <w:szCs w:val="22"/>
              </w:rPr>
              <w:t>Savoir-faire</w:t>
            </w:r>
          </w:p>
        </w:tc>
        <w:tc>
          <w:tcPr>
            <w:tcW w:w="2410" w:type="dxa"/>
            <w:shd w:val="clear" w:color="auto" w:fill="BDD6EE" w:themeFill="accent5" w:themeFillTint="66"/>
          </w:tcPr>
          <w:p w14:paraId="74A08497" w14:textId="161A6096" w:rsidR="00DD6998" w:rsidRDefault="00DD6998" w:rsidP="00DD6998">
            <w:r>
              <w:rPr>
                <w:rFonts w:asciiTheme="minorHAnsi" w:hAnsiTheme="minorHAnsi" w:cstheme="minorHAnsi"/>
                <w:b/>
              </w:rPr>
              <w:t>Capacités exigibles de remobilisables</w:t>
            </w:r>
          </w:p>
        </w:tc>
        <w:tc>
          <w:tcPr>
            <w:tcW w:w="2551" w:type="dxa"/>
          </w:tcPr>
          <w:p w14:paraId="4D0B8AB8" w14:textId="22CF79AF" w:rsidR="00DD6998" w:rsidRDefault="00DD6998" w:rsidP="00DD6998">
            <w:r w:rsidRPr="000C5D32">
              <w:rPr>
                <w:rFonts w:asciiTheme="minorHAnsi" w:hAnsiTheme="minorHAnsi" w:cstheme="minorHAnsi"/>
                <w:b/>
              </w:rPr>
              <w:t>S</w:t>
            </w:r>
            <w:r>
              <w:rPr>
                <w:rFonts w:asciiTheme="minorHAnsi" w:hAnsiTheme="minorHAnsi" w:cstheme="minorHAnsi"/>
                <w:b/>
              </w:rPr>
              <w:t>aut conceptuel en terminale</w:t>
            </w:r>
          </w:p>
        </w:tc>
        <w:tc>
          <w:tcPr>
            <w:tcW w:w="3395" w:type="dxa"/>
          </w:tcPr>
          <w:p w14:paraId="4ED5840B" w14:textId="080359BE" w:rsidR="00DD6998" w:rsidRDefault="00DD6998" w:rsidP="00DD6998">
            <w:r w:rsidRPr="007F4857">
              <w:rPr>
                <w:rFonts w:asciiTheme="minorHAnsi" w:hAnsiTheme="minorHAnsi" w:cstheme="minorHAnsi"/>
                <w:b/>
              </w:rPr>
              <w:t>Liens avec les programmes de spécialité</w:t>
            </w:r>
          </w:p>
        </w:tc>
      </w:tr>
      <w:bookmarkEnd w:id="0"/>
      <w:tr w:rsidR="00AB0022" w14:paraId="4081CC36" w14:textId="77777777" w:rsidTr="6554EDDE">
        <w:trPr>
          <w:gridAfter w:val="1"/>
          <w:wAfter w:w="47" w:type="dxa"/>
        </w:trPr>
        <w:tc>
          <w:tcPr>
            <w:tcW w:w="2872" w:type="dxa"/>
            <w:vAlign w:val="bottom"/>
          </w:tcPr>
          <w:p w14:paraId="4EFA6FBC" w14:textId="77777777" w:rsidR="00AB0022" w:rsidRDefault="00AB0022" w:rsidP="00AB0022">
            <w:pPr>
              <w:spacing w:after="101" w:line="259" w:lineRule="auto"/>
            </w:pPr>
            <w:r>
              <w:rPr>
                <w:sz w:val="22"/>
              </w:rPr>
              <w:t xml:space="preserve">Les modèles climatiques s’appuient sur :  </w:t>
            </w:r>
          </w:p>
          <w:p w14:paraId="789D4F78" w14:textId="77777777" w:rsidR="00AB0022" w:rsidRPr="002218F9" w:rsidRDefault="00AB0022" w:rsidP="00AB0022">
            <w:pPr>
              <w:pStyle w:val="Paragraphedeliste"/>
              <w:widowControl/>
              <w:numPr>
                <w:ilvl w:val="0"/>
                <w:numId w:val="10"/>
              </w:numPr>
              <w:tabs>
                <w:tab w:val="center" w:pos="620"/>
                <w:tab w:val="center" w:pos="1355"/>
                <w:tab w:val="center" w:pos="1945"/>
                <w:tab w:val="center" w:pos="2947"/>
                <w:tab w:val="center" w:pos="4391"/>
              </w:tabs>
              <w:kinsoku/>
              <w:spacing w:line="259" w:lineRule="auto"/>
            </w:pPr>
            <w:r w:rsidRPr="002218F9">
              <w:rPr>
                <w:sz w:val="22"/>
              </w:rPr>
              <w:t xml:space="preserve">la </w:t>
            </w:r>
            <w:r w:rsidRPr="002218F9">
              <w:rPr>
                <w:sz w:val="22"/>
              </w:rPr>
              <w:tab/>
              <w:t xml:space="preserve">mise </w:t>
            </w:r>
            <w:r w:rsidRPr="002218F9">
              <w:rPr>
                <w:sz w:val="22"/>
              </w:rPr>
              <w:tab/>
              <w:t xml:space="preserve">en </w:t>
            </w:r>
            <w:r w:rsidRPr="002218F9">
              <w:rPr>
                <w:sz w:val="22"/>
              </w:rPr>
              <w:tab/>
              <w:t xml:space="preserve">équations des </w:t>
            </w:r>
            <w:r w:rsidRPr="002218F9">
              <w:rPr>
                <w:sz w:val="22"/>
              </w:rPr>
              <w:tab/>
              <w:t xml:space="preserve">mécanismes essentiels qui </w:t>
            </w:r>
            <w:r>
              <w:rPr>
                <w:sz w:val="22"/>
              </w:rPr>
              <w:t>agissent sur le système Terre ;</w:t>
            </w:r>
          </w:p>
          <w:p w14:paraId="45FE9612" w14:textId="77777777" w:rsidR="00AB0022" w:rsidRDefault="00AB0022" w:rsidP="00AB0022">
            <w:pPr>
              <w:pStyle w:val="Paragraphedeliste"/>
              <w:widowControl/>
              <w:numPr>
                <w:ilvl w:val="0"/>
                <w:numId w:val="10"/>
              </w:numPr>
              <w:tabs>
                <w:tab w:val="center" w:pos="620"/>
                <w:tab w:val="center" w:pos="1355"/>
                <w:tab w:val="center" w:pos="1945"/>
                <w:tab w:val="center" w:pos="2947"/>
                <w:tab w:val="center" w:pos="4391"/>
              </w:tabs>
              <w:kinsoku/>
              <w:spacing w:line="259" w:lineRule="auto"/>
            </w:pPr>
            <w:r w:rsidRPr="002218F9">
              <w:rPr>
                <w:sz w:val="22"/>
              </w:rPr>
              <w:t xml:space="preserve">des méthodes numériques de résolution. </w:t>
            </w:r>
          </w:p>
          <w:p w14:paraId="52D00488" w14:textId="77777777" w:rsidR="00AB0022" w:rsidRDefault="00AB0022" w:rsidP="00AB0022">
            <w:pPr>
              <w:spacing w:after="136" w:line="259" w:lineRule="auto"/>
              <w:ind w:left="2"/>
            </w:pPr>
            <w:r>
              <w:rPr>
                <w:sz w:val="22"/>
              </w:rPr>
              <w:t xml:space="preserve">Les résultats des modèles sont évalués par comparaison aux observations </w:t>
            </w:r>
            <w:r>
              <w:rPr>
                <w:i/>
                <w:sz w:val="22"/>
              </w:rPr>
              <w:t>in situ</w:t>
            </w:r>
            <w:r>
              <w:rPr>
                <w:sz w:val="22"/>
              </w:rPr>
              <w:t xml:space="preserve"> et spatiales ainsi qu’à la connaissance des paléoclimats.  </w:t>
            </w:r>
          </w:p>
          <w:p w14:paraId="114AC700" w14:textId="77777777" w:rsidR="00AB0022" w:rsidRDefault="00AB0022" w:rsidP="00AB0022">
            <w:pPr>
              <w:spacing w:line="259" w:lineRule="auto"/>
              <w:rPr>
                <w:sz w:val="22"/>
              </w:rPr>
            </w:pPr>
            <w:r>
              <w:rPr>
                <w:sz w:val="22"/>
              </w:rPr>
              <w:t xml:space="preserve">Ces modèles, nombreux et </w:t>
            </w:r>
            <w:r>
              <w:rPr>
                <w:sz w:val="22"/>
              </w:rPr>
              <w:lastRenderedPageBreak/>
              <w:t xml:space="preserve">indépendants, réalisent des projections climatiques. Après avoir anticipé les évolutions des dernières décennies, ils estiment les variations climatiques globales et locales à venir sur des décennies ou des siècles. </w:t>
            </w:r>
          </w:p>
          <w:p w14:paraId="7CC10C8F" w14:textId="77777777" w:rsidR="00AB0022" w:rsidRDefault="00AB0022" w:rsidP="00AB0022">
            <w:pPr>
              <w:ind w:left="2" w:right="49"/>
              <w:rPr>
                <w:sz w:val="22"/>
              </w:rPr>
            </w:pPr>
          </w:p>
          <w:p w14:paraId="150BC7AF" w14:textId="77777777" w:rsidR="00AB0022" w:rsidRDefault="00AB0022" w:rsidP="00AB0022">
            <w:pPr>
              <w:ind w:left="2" w:right="49"/>
              <w:rPr>
                <w:sz w:val="22"/>
              </w:rPr>
            </w:pPr>
          </w:p>
          <w:p w14:paraId="7AEBCF0C" w14:textId="0AC5527E" w:rsidR="00AB0022" w:rsidRDefault="00AB0022" w:rsidP="00AB0022">
            <w:pPr>
              <w:pStyle w:val="Default"/>
              <w:jc w:val="center"/>
              <w:rPr>
                <w:sz w:val="22"/>
                <w:szCs w:val="22"/>
              </w:rPr>
            </w:pPr>
          </w:p>
        </w:tc>
        <w:tc>
          <w:tcPr>
            <w:tcW w:w="3649" w:type="dxa"/>
          </w:tcPr>
          <w:p w14:paraId="6F6029D8" w14:textId="77777777" w:rsidR="00AB0022" w:rsidRDefault="00AB0022" w:rsidP="00AB0022">
            <w:pPr>
              <w:spacing w:after="121" w:line="275" w:lineRule="auto"/>
              <w:ind w:left="1" w:right="54"/>
            </w:pPr>
            <w:r>
              <w:rPr>
                <w:sz w:val="22"/>
              </w:rPr>
              <w:lastRenderedPageBreak/>
              <w:t xml:space="preserve">Mettre en évidence le rôle des différents paramètres de l’évolution climatique, en exploitant un logiciel de simulation de celle-ci, ou par la lecture de graphiques.  </w:t>
            </w:r>
          </w:p>
          <w:p w14:paraId="5732239A" w14:textId="77777777" w:rsidR="00AB0022" w:rsidRDefault="00AB0022" w:rsidP="00AB0022">
            <w:pPr>
              <w:spacing w:after="139" w:line="259" w:lineRule="auto"/>
              <w:ind w:left="1"/>
            </w:pPr>
            <w:r>
              <w:rPr>
                <w:sz w:val="22"/>
              </w:rPr>
              <w:t xml:space="preserve"> </w:t>
            </w:r>
          </w:p>
          <w:p w14:paraId="398CA695" w14:textId="77777777" w:rsidR="00AB0022" w:rsidRDefault="00AB0022" w:rsidP="00AB0022">
            <w:pPr>
              <w:spacing w:line="259" w:lineRule="auto"/>
              <w:ind w:right="54"/>
              <w:rPr>
                <w:sz w:val="22"/>
              </w:rPr>
            </w:pPr>
            <w:r>
              <w:rPr>
                <w:sz w:val="22"/>
              </w:rPr>
              <w:t xml:space="preserve"> </w:t>
            </w:r>
          </w:p>
          <w:p w14:paraId="63DF8196" w14:textId="77777777" w:rsidR="00AB0022" w:rsidRDefault="00AB0022" w:rsidP="00AB0022">
            <w:pPr>
              <w:spacing w:line="259" w:lineRule="auto"/>
              <w:ind w:right="54"/>
              <w:rPr>
                <w:sz w:val="22"/>
              </w:rPr>
            </w:pPr>
          </w:p>
          <w:p w14:paraId="107B4112" w14:textId="77777777" w:rsidR="00AB0022" w:rsidRDefault="00AB0022" w:rsidP="00AB0022">
            <w:pPr>
              <w:spacing w:line="259" w:lineRule="auto"/>
              <w:ind w:right="54"/>
              <w:rPr>
                <w:sz w:val="22"/>
              </w:rPr>
            </w:pPr>
          </w:p>
          <w:p w14:paraId="637C0064" w14:textId="77777777" w:rsidR="00AB0022" w:rsidRDefault="00AB0022" w:rsidP="00AB0022">
            <w:pPr>
              <w:spacing w:line="259" w:lineRule="auto"/>
              <w:ind w:right="54"/>
              <w:rPr>
                <w:sz w:val="22"/>
              </w:rPr>
            </w:pPr>
          </w:p>
          <w:p w14:paraId="2727E6A7" w14:textId="77777777" w:rsidR="00AB0022" w:rsidRDefault="00AB0022" w:rsidP="00AB0022">
            <w:pPr>
              <w:spacing w:line="259" w:lineRule="auto"/>
              <w:ind w:right="54"/>
              <w:rPr>
                <w:sz w:val="22"/>
              </w:rPr>
            </w:pPr>
          </w:p>
          <w:p w14:paraId="40C864D7" w14:textId="77777777" w:rsidR="00AB0022" w:rsidRDefault="00AB0022" w:rsidP="00AB0022">
            <w:pPr>
              <w:spacing w:line="259" w:lineRule="auto"/>
              <w:ind w:right="54"/>
              <w:rPr>
                <w:sz w:val="22"/>
              </w:rPr>
            </w:pPr>
          </w:p>
          <w:p w14:paraId="62D17394" w14:textId="77777777" w:rsidR="00AB0022" w:rsidRDefault="00AB0022" w:rsidP="00AB0022">
            <w:pPr>
              <w:spacing w:line="259" w:lineRule="auto"/>
              <w:ind w:right="54"/>
              <w:rPr>
                <w:sz w:val="22"/>
              </w:rPr>
            </w:pPr>
          </w:p>
          <w:p w14:paraId="184BEF0D" w14:textId="77777777" w:rsidR="00AB0022" w:rsidRDefault="00AB0022" w:rsidP="00AB0022">
            <w:pPr>
              <w:spacing w:line="259" w:lineRule="auto"/>
              <w:ind w:right="54"/>
              <w:rPr>
                <w:sz w:val="22"/>
              </w:rPr>
            </w:pPr>
          </w:p>
          <w:p w14:paraId="341E89FC" w14:textId="77777777" w:rsidR="00AB0022" w:rsidRDefault="00AB0022" w:rsidP="00AB0022">
            <w:pPr>
              <w:spacing w:line="259" w:lineRule="auto"/>
              <w:ind w:right="54"/>
              <w:rPr>
                <w:sz w:val="22"/>
              </w:rPr>
            </w:pPr>
          </w:p>
          <w:p w14:paraId="12A04E3C" w14:textId="77777777" w:rsidR="00AB0022" w:rsidRDefault="00AB0022" w:rsidP="00AB0022">
            <w:pPr>
              <w:spacing w:line="259" w:lineRule="auto"/>
              <w:ind w:right="54"/>
              <w:rPr>
                <w:sz w:val="22"/>
              </w:rPr>
            </w:pPr>
          </w:p>
          <w:p w14:paraId="2AE6046D" w14:textId="77777777" w:rsidR="00AB0022" w:rsidRDefault="00AB0022" w:rsidP="00AB0022">
            <w:pPr>
              <w:spacing w:line="259" w:lineRule="auto"/>
              <w:ind w:right="54"/>
              <w:rPr>
                <w:sz w:val="22"/>
              </w:rPr>
            </w:pPr>
          </w:p>
          <w:p w14:paraId="55449F04" w14:textId="77777777" w:rsidR="00AB0022" w:rsidRDefault="00AB0022" w:rsidP="00AB0022">
            <w:pPr>
              <w:spacing w:line="259" w:lineRule="auto"/>
              <w:ind w:right="54"/>
            </w:pPr>
          </w:p>
          <w:p w14:paraId="4372F419" w14:textId="7FF83041" w:rsidR="00AB0022" w:rsidRDefault="00AB0022" w:rsidP="00AB0022">
            <w:pPr>
              <w:pStyle w:val="Default"/>
              <w:rPr>
                <w:sz w:val="22"/>
                <w:szCs w:val="22"/>
              </w:rPr>
            </w:pPr>
          </w:p>
        </w:tc>
        <w:tc>
          <w:tcPr>
            <w:tcW w:w="2410" w:type="dxa"/>
            <w:vMerge w:val="restart"/>
            <w:shd w:val="clear" w:color="auto" w:fill="BDD6EE" w:themeFill="accent5" w:themeFillTint="66"/>
          </w:tcPr>
          <w:p w14:paraId="62472706" w14:textId="1C2FE621" w:rsidR="00AB0022" w:rsidRPr="004E44AC" w:rsidRDefault="00AB0022" w:rsidP="00AB0022">
            <w:pPr>
              <w:widowControl/>
              <w:kinsoku/>
              <w:autoSpaceDE w:val="0"/>
              <w:autoSpaceDN w:val="0"/>
              <w:adjustRightInd w:val="0"/>
              <w:rPr>
                <w:rFonts w:ascii="Cambria" w:eastAsiaTheme="minorHAnsi" w:hAnsi="Cambria" w:cs="Arial"/>
                <w:sz w:val="22"/>
                <w:szCs w:val="22"/>
                <w:lang w:eastAsia="en-US"/>
              </w:rPr>
            </w:pPr>
          </w:p>
          <w:p w14:paraId="53D4F232" w14:textId="77777777" w:rsidR="00AB0022" w:rsidRPr="004E44AC" w:rsidRDefault="00AB0022" w:rsidP="00AB0022">
            <w:pPr>
              <w:widowControl/>
              <w:kinsoku/>
              <w:autoSpaceDE w:val="0"/>
              <w:autoSpaceDN w:val="0"/>
              <w:adjustRightInd w:val="0"/>
              <w:rPr>
                <w:rFonts w:ascii="Cambria" w:eastAsiaTheme="minorHAnsi" w:hAnsi="Cambria" w:cs="Arial"/>
                <w:sz w:val="22"/>
                <w:szCs w:val="22"/>
                <w:lang w:eastAsia="en-US"/>
              </w:rPr>
            </w:pPr>
          </w:p>
          <w:p w14:paraId="08714A62" w14:textId="77777777" w:rsidR="00AB0022" w:rsidRPr="008F7C00" w:rsidRDefault="00AB0022" w:rsidP="00AB0022">
            <w:pPr>
              <w:widowControl/>
              <w:kinsoku/>
              <w:autoSpaceDE w:val="0"/>
              <w:autoSpaceDN w:val="0"/>
              <w:adjustRightInd w:val="0"/>
              <w:rPr>
                <w:rFonts w:ascii="Cambria" w:eastAsiaTheme="minorHAnsi" w:hAnsi="Cambria" w:cs="Arial"/>
                <w:color w:val="000000"/>
                <w:sz w:val="22"/>
                <w:szCs w:val="22"/>
                <w:lang w:eastAsia="en-US"/>
              </w:rPr>
            </w:pPr>
          </w:p>
          <w:p w14:paraId="2C0B3CEC" w14:textId="18200E78" w:rsidR="00AB0022" w:rsidRPr="008F7C00" w:rsidRDefault="00AB0022" w:rsidP="00AB0022">
            <w:pPr>
              <w:widowControl/>
              <w:kinsoku/>
              <w:autoSpaceDE w:val="0"/>
              <w:autoSpaceDN w:val="0"/>
              <w:adjustRightInd w:val="0"/>
            </w:pPr>
          </w:p>
        </w:tc>
        <w:tc>
          <w:tcPr>
            <w:tcW w:w="2551" w:type="dxa"/>
            <w:vMerge w:val="restart"/>
          </w:tcPr>
          <w:p w14:paraId="462CFB68" w14:textId="77777777" w:rsidR="00AB0022" w:rsidRDefault="00AB0022" w:rsidP="00AB0022"/>
        </w:tc>
        <w:tc>
          <w:tcPr>
            <w:tcW w:w="3395" w:type="dxa"/>
            <w:vMerge w:val="restart"/>
          </w:tcPr>
          <w:p w14:paraId="46B59E2C" w14:textId="77777777" w:rsidR="00AB0022" w:rsidRDefault="00AB0022" w:rsidP="00AB0022"/>
        </w:tc>
      </w:tr>
      <w:tr w:rsidR="00AB0022" w14:paraId="405581AC" w14:textId="77777777" w:rsidTr="6554EDDE">
        <w:trPr>
          <w:gridAfter w:val="1"/>
          <w:wAfter w:w="47" w:type="dxa"/>
        </w:trPr>
        <w:tc>
          <w:tcPr>
            <w:tcW w:w="2872" w:type="dxa"/>
          </w:tcPr>
          <w:p w14:paraId="5487D740" w14:textId="77777777" w:rsidR="00AB0022" w:rsidRDefault="00AB0022" w:rsidP="00AB0022">
            <w:pPr>
              <w:ind w:left="2" w:right="49"/>
            </w:pPr>
            <w:r>
              <w:rPr>
                <w:sz w:val="22"/>
              </w:rPr>
              <w:t>L’analyse scientifique combinant observations, éléments théoriques et modélisations numériques permet aujourd’hui de conclure que l’augmentation de température moyenne depuis le début de l’ère industrielle est liée à l’activité humaine : CO</w:t>
            </w:r>
            <w:r>
              <w:rPr>
                <w:sz w:val="22"/>
                <w:vertAlign w:val="subscript"/>
              </w:rPr>
              <w:t>2</w:t>
            </w:r>
            <w:r>
              <w:rPr>
                <w:sz w:val="22"/>
              </w:rPr>
              <w:t xml:space="preserve"> produit par la combustion d’hydrocarbures, la déforestation, la production de ciment ; CH</w:t>
            </w:r>
            <w:r>
              <w:rPr>
                <w:sz w:val="22"/>
                <w:vertAlign w:val="subscript"/>
              </w:rPr>
              <w:t>4</w:t>
            </w:r>
            <w:r>
              <w:rPr>
                <w:sz w:val="22"/>
              </w:rPr>
              <w:t xml:space="preserve"> produit par les fuites de gaz naturel, la fermentation dans les décharges, certaines activités agricoles. </w:t>
            </w:r>
          </w:p>
          <w:p w14:paraId="7A599321" w14:textId="77777777" w:rsidR="00AB0022" w:rsidRDefault="00AB0022" w:rsidP="00AB0022">
            <w:pPr>
              <w:spacing w:after="19" w:line="259" w:lineRule="auto"/>
              <w:ind w:left="2"/>
            </w:pPr>
            <w:r>
              <w:rPr>
                <w:sz w:val="22"/>
              </w:rPr>
              <w:t xml:space="preserve"> </w:t>
            </w:r>
          </w:p>
          <w:p w14:paraId="596E53DF" w14:textId="77777777" w:rsidR="00AB0022" w:rsidRDefault="00AB0022" w:rsidP="00AB0022">
            <w:pPr>
              <w:spacing w:after="83" w:line="275" w:lineRule="auto"/>
              <w:ind w:left="2" w:right="49"/>
            </w:pPr>
            <w:r>
              <w:rPr>
                <w:sz w:val="22"/>
              </w:rPr>
              <w:t xml:space="preserve">Les modèles s’accordent à prévoir, avec une forte probabilité d’occurrence, dans des fourchettes </w:t>
            </w:r>
            <w:r>
              <w:rPr>
                <w:sz w:val="22"/>
              </w:rPr>
              <w:lastRenderedPageBreak/>
              <w:t xml:space="preserve">dépendant de la quantité émise de GES : </w:t>
            </w:r>
          </w:p>
          <w:p w14:paraId="789467A7" w14:textId="77777777" w:rsidR="00AB0022" w:rsidRDefault="00AB0022" w:rsidP="00AB0022">
            <w:pPr>
              <w:widowControl/>
              <w:numPr>
                <w:ilvl w:val="0"/>
                <w:numId w:val="11"/>
              </w:numPr>
              <w:kinsoku/>
              <w:spacing w:after="14" w:line="276" w:lineRule="auto"/>
              <w:ind w:left="722" w:hanging="360"/>
              <w:jc w:val="both"/>
            </w:pPr>
            <w:r>
              <w:rPr>
                <w:sz w:val="22"/>
              </w:rPr>
              <w:t xml:space="preserve">une augmentation de 1,5 à 5°C de la température moyenne entre 2017 et la fin du </w:t>
            </w:r>
          </w:p>
          <w:p w14:paraId="7059631B" w14:textId="77777777" w:rsidR="00AB0022" w:rsidRDefault="00AB0022" w:rsidP="00AB0022">
            <w:pPr>
              <w:spacing w:after="129" w:line="259" w:lineRule="auto"/>
              <w:ind w:left="723"/>
            </w:pPr>
            <w:r>
              <w:rPr>
                <w:sz w:val="22"/>
              </w:rPr>
              <w:t>XXI</w:t>
            </w:r>
            <w:r>
              <w:rPr>
                <w:sz w:val="22"/>
                <w:vertAlign w:val="superscript"/>
              </w:rPr>
              <w:t>e</w:t>
            </w:r>
            <w:r>
              <w:rPr>
                <w:sz w:val="22"/>
              </w:rPr>
              <w:t xml:space="preserve"> siècle ; </w:t>
            </w:r>
          </w:p>
          <w:p w14:paraId="303C0350" w14:textId="77777777" w:rsidR="00AB0022" w:rsidRDefault="00AB0022" w:rsidP="00AB0022">
            <w:pPr>
              <w:widowControl/>
              <w:numPr>
                <w:ilvl w:val="0"/>
                <w:numId w:val="11"/>
              </w:numPr>
              <w:kinsoku/>
              <w:spacing w:after="59" w:line="294" w:lineRule="auto"/>
              <w:ind w:left="722" w:hanging="360"/>
              <w:jc w:val="both"/>
            </w:pPr>
            <w:r>
              <w:rPr>
                <w:sz w:val="22"/>
              </w:rPr>
              <w:t>une élévation du niveau moyen des océans entre le début du XXI</w:t>
            </w:r>
            <w:r>
              <w:rPr>
                <w:sz w:val="22"/>
                <w:vertAlign w:val="superscript"/>
              </w:rPr>
              <w:t>e</w:t>
            </w:r>
            <w:r>
              <w:rPr>
                <w:sz w:val="22"/>
              </w:rPr>
              <w:t xml:space="preserve"> siècle et 2100 pouvant atteindre le mètre ; </w:t>
            </w:r>
          </w:p>
          <w:p w14:paraId="0957DB53" w14:textId="77777777" w:rsidR="00AB0022" w:rsidRDefault="00AB0022" w:rsidP="00AB0022">
            <w:pPr>
              <w:widowControl/>
              <w:numPr>
                <w:ilvl w:val="0"/>
                <w:numId w:val="11"/>
              </w:numPr>
              <w:kinsoku/>
              <w:spacing w:after="82" w:line="276" w:lineRule="auto"/>
              <w:ind w:left="722" w:hanging="360"/>
              <w:jc w:val="both"/>
            </w:pPr>
            <w:r>
              <w:rPr>
                <w:sz w:val="22"/>
              </w:rPr>
              <w:t xml:space="preserve">des modifications des régimes de pluie et des événements climatiques extrêmes ; </w:t>
            </w:r>
          </w:p>
          <w:p w14:paraId="0A85A8AB" w14:textId="77777777" w:rsidR="00AB0022" w:rsidRDefault="00AB0022" w:rsidP="00AB0022">
            <w:pPr>
              <w:widowControl/>
              <w:numPr>
                <w:ilvl w:val="0"/>
                <w:numId w:val="11"/>
              </w:numPr>
              <w:kinsoku/>
              <w:spacing w:after="47" w:line="259" w:lineRule="auto"/>
              <w:ind w:left="722" w:hanging="360"/>
              <w:jc w:val="both"/>
            </w:pPr>
            <w:r>
              <w:rPr>
                <w:sz w:val="22"/>
              </w:rPr>
              <w:t xml:space="preserve">une acidification des océans ; </w:t>
            </w:r>
          </w:p>
          <w:p w14:paraId="36EB33E9" w14:textId="44A44D5C" w:rsidR="00AB0022" w:rsidRDefault="00AB0022" w:rsidP="00AB0022">
            <w:pPr>
              <w:pStyle w:val="Default"/>
              <w:jc w:val="center"/>
              <w:rPr>
                <w:sz w:val="22"/>
                <w:szCs w:val="22"/>
              </w:rPr>
            </w:pPr>
            <w:r>
              <w:rPr>
                <w:sz w:val="22"/>
              </w:rPr>
              <w:t xml:space="preserve">un impact majeur sur les écosystèmes terrestres et marins. </w:t>
            </w:r>
          </w:p>
        </w:tc>
        <w:tc>
          <w:tcPr>
            <w:tcW w:w="3649" w:type="dxa"/>
          </w:tcPr>
          <w:p w14:paraId="0E64D5C8" w14:textId="77777777" w:rsidR="00AB0022" w:rsidRDefault="00AB0022" w:rsidP="00AB0022">
            <w:pPr>
              <w:spacing w:after="19" w:line="259" w:lineRule="auto"/>
            </w:pPr>
            <w:r>
              <w:rPr>
                <w:sz w:val="22"/>
              </w:rPr>
              <w:lastRenderedPageBreak/>
              <w:t>Exploiter les résultats d’un modèle climatique pour expliquer des corrélations par des liens de cause à effet.</w:t>
            </w:r>
          </w:p>
          <w:p w14:paraId="4D6A0723" w14:textId="77777777" w:rsidR="00AB0022" w:rsidRDefault="00AB0022" w:rsidP="00AB0022">
            <w:pPr>
              <w:spacing w:after="16" w:line="259" w:lineRule="auto"/>
            </w:pPr>
            <w:r>
              <w:rPr>
                <w:sz w:val="22"/>
              </w:rPr>
              <w:t xml:space="preserve"> </w:t>
            </w:r>
          </w:p>
          <w:p w14:paraId="77A0AD5E" w14:textId="77777777" w:rsidR="00AB0022" w:rsidRDefault="00AB0022" w:rsidP="00AB0022">
            <w:pPr>
              <w:spacing w:after="19" w:line="259" w:lineRule="auto"/>
            </w:pPr>
            <w:r>
              <w:rPr>
                <w:sz w:val="22"/>
              </w:rPr>
              <w:t xml:space="preserve"> </w:t>
            </w:r>
          </w:p>
          <w:p w14:paraId="6A27DF50" w14:textId="77777777" w:rsidR="00AB0022" w:rsidRDefault="00AB0022" w:rsidP="00AB0022">
            <w:pPr>
              <w:spacing w:after="19" w:line="259" w:lineRule="auto"/>
            </w:pPr>
            <w:r>
              <w:rPr>
                <w:sz w:val="22"/>
              </w:rPr>
              <w:t xml:space="preserve"> </w:t>
            </w:r>
          </w:p>
          <w:p w14:paraId="16AEFD1F" w14:textId="77777777" w:rsidR="00AB0022" w:rsidRDefault="00AB0022" w:rsidP="00AB0022">
            <w:pPr>
              <w:spacing w:after="16" w:line="259" w:lineRule="auto"/>
            </w:pPr>
            <w:r>
              <w:rPr>
                <w:sz w:val="22"/>
              </w:rPr>
              <w:t xml:space="preserve"> </w:t>
            </w:r>
          </w:p>
          <w:p w14:paraId="523147CE" w14:textId="77777777" w:rsidR="00AB0022" w:rsidRDefault="00AB0022" w:rsidP="00AB0022">
            <w:pPr>
              <w:spacing w:after="19" w:line="259" w:lineRule="auto"/>
            </w:pPr>
            <w:r>
              <w:rPr>
                <w:sz w:val="22"/>
              </w:rPr>
              <w:t xml:space="preserve"> </w:t>
            </w:r>
          </w:p>
          <w:p w14:paraId="479C96DB" w14:textId="77777777" w:rsidR="00AB0022" w:rsidRDefault="00AB0022" w:rsidP="00AB0022">
            <w:pPr>
              <w:spacing w:after="19" w:line="259" w:lineRule="auto"/>
            </w:pPr>
            <w:r>
              <w:rPr>
                <w:sz w:val="22"/>
              </w:rPr>
              <w:t xml:space="preserve"> </w:t>
            </w:r>
          </w:p>
          <w:p w14:paraId="5D543469" w14:textId="77777777" w:rsidR="00AB0022" w:rsidRDefault="00AB0022" w:rsidP="00AB0022">
            <w:pPr>
              <w:spacing w:after="16" w:line="259" w:lineRule="auto"/>
            </w:pPr>
            <w:r>
              <w:rPr>
                <w:sz w:val="22"/>
              </w:rPr>
              <w:t xml:space="preserve"> </w:t>
            </w:r>
          </w:p>
          <w:p w14:paraId="026B8CB8" w14:textId="77777777" w:rsidR="00AB0022" w:rsidRDefault="00AB0022" w:rsidP="00AB0022">
            <w:pPr>
              <w:spacing w:after="19" w:line="259" w:lineRule="auto"/>
            </w:pPr>
            <w:r>
              <w:rPr>
                <w:sz w:val="22"/>
              </w:rPr>
              <w:t xml:space="preserve"> </w:t>
            </w:r>
          </w:p>
          <w:p w14:paraId="730229E2" w14:textId="77777777" w:rsidR="00AB0022" w:rsidRDefault="00AB0022" w:rsidP="00AB0022">
            <w:pPr>
              <w:spacing w:after="19" w:line="259" w:lineRule="auto"/>
            </w:pPr>
            <w:r>
              <w:rPr>
                <w:sz w:val="22"/>
              </w:rPr>
              <w:t xml:space="preserve"> </w:t>
            </w:r>
          </w:p>
          <w:p w14:paraId="350DC867" w14:textId="77777777" w:rsidR="00AB0022" w:rsidRDefault="00AB0022" w:rsidP="00AB0022">
            <w:pPr>
              <w:spacing w:after="16" w:line="259" w:lineRule="auto"/>
            </w:pPr>
            <w:r>
              <w:rPr>
                <w:sz w:val="22"/>
              </w:rPr>
              <w:t xml:space="preserve"> </w:t>
            </w:r>
          </w:p>
          <w:p w14:paraId="6CCDE737" w14:textId="77777777" w:rsidR="00AB0022" w:rsidRDefault="00AB0022" w:rsidP="00AB0022">
            <w:pPr>
              <w:spacing w:after="19" w:line="259" w:lineRule="auto"/>
            </w:pPr>
            <w:r>
              <w:rPr>
                <w:sz w:val="22"/>
              </w:rPr>
              <w:t xml:space="preserve"> </w:t>
            </w:r>
          </w:p>
          <w:p w14:paraId="322C13FB" w14:textId="77777777" w:rsidR="00AB0022" w:rsidRDefault="00AB0022" w:rsidP="00AB0022">
            <w:pPr>
              <w:spacing w:after="19" w:line="259" w:lineRule="auto"/>
            </w:pPr>
            <w:r>
              <w:rPr>
                <w:sz w:val="22"/>
              </w:rPr>
              <w:t xml:space="preserve"> </w:t>
            </w:r>
          </w:p>
          <w:p w14:paraId="60074658" w14:textId="77777777" w:rsidR="00AB0022" w:rsidRDefault="00AB0022" w:rsidP="00AB0022">
            <w:pPr>
              <w:spacing w:after="16" w:line="259" w:lineRule="auto"/>
            </w:pPr>
            <w:r>
              <w:rPr>
                <w:sz w:val="22"/>
              </w:rPr>
              <w:t xml:space="preserve"> </w:t>
            </w:r>
          </w:p>
          <w:p w14:paraId="122286B9" w14:textId="77777777" w:rsidR="00AB0022" w:rsidRDefault="00AB0022" w:rsidP="00AB0022">
            <w:pPr>
              <w:spacing w:after="19" w:line="259" w:lineRule="auto"/>
            </w:pPr>
            <w:r>
              <w:rPr>
                <w:sz w:val="22"/>
              </w:rPr>
              <w:t xml:space="preserve"> </w:t>
            </w:r>
          </w:p>
          <w:p w14:paraId="51971822" w14:textId="77777777" w:rsidR="00AB0022" w:rsidRDefault="00AB0022" w:rsidP="00AB0022">
            <w:pPr>
              <w:spacing w:after="19" w:line="259" w:lineRule="auto"/>
            </w:pPr>
            <w:r>
              <w:rPr>
                <w:sz w:val="22"/>
              </w:rPr>
              <w:t xml:space="preserve"> </w:t>
            </w:r>
          </w:p>
          <w:p w14:paraId="2C85C1A5" w14:textId="77777777" w:rsidR="00AB0022" w:rsidRDefault="00AB0022" w:rsidP="00AB0022">
            <w:pPr>
              <w:spacing w:after="16" w:line="259" w:lineRule="auto"/>
            </w:pPr>
            <w:r>
              <w:rPr>
                <w:sz w:val="22"/>
              </w:rPr>
              <w:lastRenderedPageBreak/>
              <w:t xml:space="preserve"> </w:t>
            </w:r>
          </w:p>
          <w:p w14:paraId="2262A2FF" w14:textId="77777777" w:rsidR="00AB0022" w:rsidRDefault="00AB0022" w:rsidP="00AB0022">
            <w:pPr>
              <w:spacing w:after="19" w:line="259" w:lineRule="auto"/>
            </w:pPr>
            <w:r>
              <w:rPr>
                <w:sz w:val="22"/>
              </w:rPr>
              <w:t xml:space="preserve"> </w:t>
            </w:r>
          </w:p>
          <w:p w14:paraId="3D13D220" w14:textId="77777777" w:rsidR="00AB0022" w:rsidRDefault="00AB0022" w:rsidP="00AB0022">
            <w:pPr>
              <w:spacing w:after="19" w:line="259" w:lineRule="auto"/>
            </w:pPr>
            <w:r>
              <w:rPr>
                <w:sz w:val="22"/>
              </w:rPr>
              <w:t xml:space="preserve"> </w:t>
            </w:r>
          </w:p>
          <w:p w14:paraId="78334BA1" w14:textId="3C70E606" w:rsidR="00AB0022" w:rsidRDefault="00AB0022" w:rsidP="00AB0022">
            <w:pPr>
              <w:pStyle w:val="Default"/>
              <w:rPr>
                <w:sz w:val="22"/>
                <w:szCs w:val="22"/>
              </w:rPr>
            </w:pPr>
            <w:r>
              <w:rPr>
                <w:sz w:val="22"/>
              </w:rPr>
              <w:t xml:space="preserve"> </w:t>
            </w:r>
          </w:p>
        </w:tc>
        <w:tc>
          <w:tcPr>
            <w:tcW w:w="2410" w:type="dxa"/>
            <w:vMerge/>
          </w:tcPr>
          <w:p w14:paraId="62E96575" w14:textId="77777777" w:rsidR="00AB0022" w:rsidRDefault="00AB0022" w:rsidP="00AB0022"/>
        </w:tc>
        <w:tc>
          <w:tcPr>
            <w:tcW w:w="2551" w:type="dxa"/>
            <w:vMerge/>
          </w:tcPr>
          <w:p w14:paraId="2EE63104" w14:textId="77777777" w:rsidR="00AB0022" w:rsidRDefault="00AB0022" w:rsidP="00AB0022"/>
        </w:tc>
        <w:tc>
          <w:tcPr>
            <w:tcW w:w="3395" w:type="dxa"/>
            <w:vMerge/>
          </w:tcPr>
          <w:p w14:paraId="4FF3356D" w14:textId="77777777" w:rsidR="00AB0022" w:rsidRDefault="00AB0022" w:rsidP="00AB0022"/>
        </w:tc>
      </w:tr>
      <w:tr w:rsidR="00AB0022" w:rsidRPr="00D906D4" w14:paraId="51CE8ED7" w14:textId="77777777" w:rsidTr="6554EDDE">
        <w:tc>
          <w:tcPr>
            <w:tcW w:w="14924" w:type="dxa"/>
            <w:gridSpan w:val="6"/>
            <w:vAlign w:val="center"/>
          </w:tcPr>
          <w:p w14:paraId="7816AF5B" w14:textId="77777777" w:rsidR="00AB0022" w:rsidRDefault="00AB0022" w:rsidP="00AB0022">
            <w:pPr>
              <w:spacing w:line="259" w:lineRule="auto"/>
              <w:ind w:left="2"/>
            </w:pPr>
            <w:r>
              <w:rPr>
                <w:b/>
                <w:color w:val="007F9F"/>
              </w:rPr>
              <w:t xml:space="preserve">Prérequis et limites  </w:t>
            </w:r>
          </w:p>
          <w:p w14:paraId="1848C737" w14:textId="6A208E9B" w:rsidR="00AB0022" w:rsidRPr="00367C1D" w:rsidRDefault="00AB0022" w:rsidP="00367C1D">
            <w:pPr>
              <w:spacing w:line="239" w:lineRule="auto"/>
              <w:ind w:left="2"/>
            </w:pPr>
            <w:r>
              <w:rPr>
                <w:sz w:val="22"/>
              </w:rPr>
              <w:t xml:space="preserve">Les notions déjà connues sur la photosynthèse et les écosystèmes sont mobilisées. Les équations mathématiques utilisées dans les modèles climatiques ne sont pas évoquées. </w:t>
            </w:r>
          </w:p>
          <w:p w14:paraId="3B0F3770" w14:textId="77777777" w:rsidR="00AB0022" w:rsidRPr="00D906D4" w:rsidRDefault="00AB0022" w:rsidP="00AB0022">
            <w:pPr>
              <w:pStyle w:val="Default"/>
              <w:rPr>
                <w:sz w:val="22"/>
                <w:szCs w:val="22"/>
              </w:rPr>
            </w:pPr>
          </w:p>
        </w:tc>
      </w:tr>
      <w:tr w:rsidR="00367C1D" w:rsidRPr="00D906D4" w14:paraId="0D73D471" w14:textId="77777777" w:rsidTr="6554EDDE">
        <w:tc>
          <w:tcPr>
            <w:tcW w:w="14924" w:type="dxa"/>
            <w:gridSpan w:val="6"/>
            <w:vAlign w:val="center"/>
          </w:tcPr>
          <w:p w14:paraId="127D5653" w14:textId="77777777" w:rsidR="00367C1D" w:rsidRDefault="00367C1D" w:rsidP="00367C1D">
            <w:pPr>
              <w:spacing w:after="75" w:line="259" w:lineRule="auto"/>
              <w:ind w:left="2"/>
            </w:pPr>
            <w:r>
              <w:rPr>
                <w:b/>
                <w:color w:val="007F9F"/>
              </w:rPr>
              <w:t xml:space="preserve">1.4 Énergie, choix de développement et futur climatique  </w:t>
            </w:r>
          </w:p>
          <w:p w14:paraId="24AFF5C2" w14:textId="03DA61A9" w:rsidR="00367C1D" w:rsidRPr="00367C1D" w:rsidRDefault="00367C1D" w:rsidP="00367C1D">
            <w:pPr>
              <w:spacing w:line="275" w:lineRule="auto"/>
              <w:ind w:left="2" w:right="50"/>
            </w:pPr>
            <w:r>
              <w:rPr>
                <w:i/>
                <w:sz w:val="22"/>
              </w:rPr>
              <w:t xml:space="preserve">La consommation mondiale d’énergie fait majoritairement appel aux combustibles fossiles, principale cause du réchauffement climatique. Il est donc essentiel </w:t>
            </w:r>
            <w:r>
              <w:rPr>
                <w:i/>
                <w:sz w:val="22"/>
              </w:rPr>
              <w:lastRenderedPageBreak/>
              <w:t xml:space="preserve">d’identifier, pour toute activité, individuelle ou collective, ou tout produit, l’impact sur la production de gaz à effet de serre. L’identification d’autres effets collatéraux, notamment sur la santé, est importante. Les différents scénarios de l’évolution globale du climat dépendent des stratégies que l’humanité mettra en œuvre. </w:t>
            </w:r>
          </w:p>
        </w:tc>
      </w:tr>
      <w:tr w:rsidR="00DD6998" w14:paraId="3B8A4C5C" w14:textId="77777777" w:rsidTr="6554EDDE">
        <w:trPr>
          <w:gridAfter w:val="1"/>
          <w:wAfter w:w="47" w:type="dxa"/>
        </w:trPr>
        <w:tc>
          <w:tcPr>
            <w:tcW w:w="2872" w:type="dxa"/>
            <w:vAlign w:val="center"/>
          </w:tcPr>
          <w:p w14:paraId="7C4AAF0F" w14:textId="44900CB4" w:rsidR="00DD6998" w:rsidRDefault="00DD6998" w:rsidP="00DD6998">
            <w:pPr>
              <w:pStyle w:val="Default"/>
              <w:jc w:val="center"/>
              <w:rPr>
                <w:sz w:val="22"/>
                <w:szCs w:val="22"/>
              </w:rPr>
            </w:pPr>
            <w:r>
              <w:rPr>
                <w:b/>
                <w:bCs/>
                <w:sz w:val="22"/>
                <w:szCs w:val="22"/>
              </w:rPr>
              <w:lastRenderedPageBreak/>
              <w:t>Savoirs</w:t>
            </w:r>
          </w:p>
        </w:tc>
        <w:tc>
          <w:tcPr>
            <w:tcW w:w="3649" w:type="dxa"/>
            <w:vAlign w:val="center"/>
          </w:tcPr>
          <w:p w14:paraId="582AD44C" w14:textId="050B2E24" w:rsidR="00DD6998" w:rsidRDefault="00DD6998" w:rsidP="00DD6998">
            <w:pPr>
              <w:pStyle w:val="Default"/>
              <w:rPr>
                <w:sz w:val="22"/>
                <w:szCs w:val="22"/>
              </w:rPr>
            </w:pPr>
            <w:r>
              <w:rPr>
                <w:b/>
                <w:bCs/>
                <w:sz w:val="22"/>
                <w:szCs w:val="22"/>
              </w:rPr>
              <w:t>Savoir-faire</w:t>
            </w:r>
          </w:p>
        </w:tc>
        <w:tc>
          <w:tcPr>
            <w:tcW w:w="2410" w:type="dxa"/>
            <w:shd w:val="clear" w:color="auto" w:fill="BDD6EE" w:themeFill="accent5" w:themeFillTint="66"/>
          </w:tcPr>
          <w:p w14:paraId="7E1F5F91" w14:textId="2B3B15A7" w:rsidR="00DD6998" w:rsidRDefault="00DD6998" w:rsidP="00DD6998">
            <w:r>
              <w:rPr>
                <w:rFonts w:asciiTheme="minorHAnsi" w:hAnsiTheme="minorHAnsi" w:cstheme="minorHAnsi"/>
                <w:b/>
              </w:rPr>
              <w:t>Capacités exigibles de remobilisables</w:t>
            </w:r>
          </w:p>
        </w:tc>
        <w:tc>
          <w:tcPr>
            <w:tcW w:w="2551" w:type="dxa"/>
          </w:tcPr>
          <w:p w14:paraId="14A23677" w14:textId="50693C85" w:rsidR="00DD6998" w:rsidRDefault="00DD6998" w:rsidP="00DD6998">
            <w:r w:rsidRPr="000C5D32">
              <w:rPr>
                <w:rFonts w:asciiTheme="minorHAnsi" w:hAnsiTheme="minorHAnsi" w:cstheme="minorHAnsi"/>
                <w:b/>
              </w:rPr>
              <w:t>S</w:t>
            </w:r>
            <w:r>
              <w:rPr>
                <w:rFonts w:asciiTheme="minorHAnsi" w:hAnsiTheme="minorHAnsi" w:cstheme="minorHAnsi"/>
                <w:b/>
              </w:rPr>
              <w:t>aut conceptuel en terminale</w:t>
            </w:r>
          </w:p>
        </w:tc>
        <w:tc>
          <w:tcPr>
            <w:tcW w:w="3395" w:type="dxa"/>
          </w:tcPr>
          <w:p w14:paraId="2E101F37" w14:textId="6E3835F0" w:rsidR="00DD6998" w:rsidRDefault="00DD6998" w:rsidP="00DD6998">
            <w:r w:rsidRPr="007F4857">
              <w:rPr>
                <w:rFonts w:asciiTheme="minorHAnsi" w:hAnsiTheme="minorHAnsi" w:cstheme="minorHAnsi"/>
                <w:b/>
              </w:rPr>
              <w:t>Liens avec les programmes de spécialité</w:t>
            </w:r>
          </w:p>
        </w:tc>
      </w:tr>
      <w:tr w:rsidR="003C7BFF" w14:paraId="6CD0785D" w14:textId="77777777" w:rsidTr="6554EDDE">
        <w:trPr>
          <w:gridAfter w:val="1"/>
          <w:wAfter w:w="47" w:type="dxa"/>
        </w:trPr>
        <w:tc>
          <w:tcPr>
            <w:tcW w:w="2872" w:type="dxa"/>
            <w:vAlign w:val="bottom"/>
          </w:tcPr>
          <w:p w14:paraId="52742F25" w14:textId="77777777" w:rsidR="003C7BFF" w:rsidRDefault="003C7BFF" w:rsidP="00CC1626">
            <w:pPr>
              <w:spacing w:after="117" w:line="276" w:lineRule="auto"/>
              <w:ind w:right="53"/>
            </w:pPr>
            <w:r>
              <w:rPr>
                <w:sz w:val="22"/>
              </w:rPr>
              <w:t xml:space="preserve">L’énergie utilisée dans le monde provient d’une diversité de ressources parmi lesquelles les combustibles fossiles dominent. </w:t>
            </w:r>
          </w:p>
          <w:p w14:paraId="4E4192CE" w14:textId="77777777" w:rsidR="003C7BFF" w:rsidRDefault="003C7BFF" w:rsidP="00CC1626">
            <w:pPr>
              <w:spacing w:line="276" w:lineRule="auto"/>
            </w:pPr>
            <w:r>
              <w:rPr>
                <w:sz w:val="22"/>
              </w:rPr>
              <w:t xml:space="preserve">La consommation en est très inégalement répartie selon la richesse des pays et des individus.  </w:t>
            </w:r>
          </w:p>
          <w:p w14:paraId="44A9C60C" w14:textId="77777777" w:rsidR="003C7BFF" w:rsidRDefault="003C7BFF" w:rsidP="00CC1626">
            <w:pPr>
              <w:spacing w:line="275" w:lineRule="auto"/>
              <w:ind w:right="51"/>
            </w:pPr>
            <w:r>
              <w:rPr>
                <w:sz w:val="22"/>
              </w:rPr>
              <w:t>La croissance de la consommation globale (doublement dans les 40 dernières années) est directement liée au modèle industriel de production et de</w:t>
            </w:r>
            <w:r>
              <w:rPr>
                <w:color w:val="00B050"/>
                <w:sz w:val="22"/>
              </w:rPr>
              <w:t xml:space="preserve"> </w:t>
            </w:r>
            <w:r>
              <w:rPr>
                <w:sz w:val="22"/>
              </w:rPr>
              <w:t xml:space="preserve">consommation des sociétés.  </w:t>
            </w:r>
          </w:p>
          <w:p w14:paraId="401F92B3" w14:textId="77777777" w:rsidR="003C7BFF" w:rsidRDefault="003C7BFF" w:rsidP="00CC1626">
            <w:pPr>
              <w:spacing w:after="1" w:line="275" w:lineRule="auto"/>
              <w:ind w:right="52"/>
            </w:pPr>
            <w:r>
              <w:rPr>
                <w:sz w:val="22"/>
              </w:rPr>
              <w:t xml:space="preserve">En moyenne mondiale, cette énergie est utilisée à parts comparables par le secteur industriel, les transports, le secteur de l’habitat et dans une moindre mesure par le secteur agricole.   </w:t>
            </w:r>
          </w:p>
          <w:p w14:paraId="43A034EC" w14:textId="164BBCCA" w:rsidR="003C7BFF" w:rsidRDefault="003C7BFF" w:rsidP="00CC1626">
            <w:pPr>
              <w:pStyle w:val="Default"/>
              <w:jc w:val="center"/>
              <w:rPr>
                <w:sz w:val="22"/>
                <w:szCs w:val="22"/>
              </w:rPr>
            </w:pPr>
            <w:r>
              <w:rPr>
                <w:sz w:val="22"/>
              </w:rPr>
              <w:t xml:space="preserve">Les énergies primaires sont disponibles sous forme de stocks </w:t>
            </w:r>
            <w:r>
              <w:rPr>
                <w:sz w:val="22"/>
              </w:rPr>
              <w:lastRenderedPageBreak/>
              <w:t xml:space="preserve">(combustibles fossiles, uranium) et de flux (flux radiatif solaire, flux géothermique, puissance gravitationnelle à l’origine des marées).  </w:t>
            </w:r>
          </w:p>
        </w:tc>
        <w:tc>
          <w:tcPr>
            <w:tcW w:w="3649" w:type="dxa"/>
          </w:tcPr>
          <w:p w14:paraId="0AA5B48B" w14:textId="77777777" w:rsidR="003C7BFF" w:rsidRDefault="003C7BFF" w:rsidP="00CC1626">
            <w:pPr>
              <w:spacing w:line="275" w:lineRule="auto"/>
              <w:ind w:left="1" w:right="53"/>
              <w:rPr>
                <w:sz w:val="22"/>
              </w:rPr>
            </w:pPr>
          </w:p>
          <w:p w14:paraId="120BFDF5" w14:textId="77777777" w:rsidR="003C7BFF" w:rsidRDefault="003C7BFF" w:rsidP="00CC1626">
            <w:pPr>
              <w:spacing w:line="275" w:lineRule="auto"/>
              <w:ind w:left="1" w:right="53"/>
            </w:pPr>
            <w:r>
              <w:rPr>
                <w:sz w:val="22"/>
              </w:rPr>
              <w:t xml:space="preserve">Utiliser les différentes unités d’énergie employées (Tonne Équivalent Pétrole (TEP), kWh, …) et les convertir en joules – les facteurs de conversion étant fournis.  </w:t>
            </w:r>
          </w:p>
          <w:p w14:paraId="711A6217" w14:textId="77777777" w:rsidR="003C7BFF" w:rsidRDefault="003C7BFF" w:rsidP="00CC1626">
            <w:pPr>
              <w:spacing w:after="139" w:line="259" w:lineRule="auto"/>
              <w:ind w:left="1"/>
            </w:pPr>
            <w:r>
              <w:rPr>
                <w:sz w:val="22"/>
              </w:rPr>
              <w:t xml:space="preserve"> </w:t>
            </w:r>
          </w:p>
          <w:p w14:paraId="1C31EE24" w14:textId="77777777" w:rsidR="003C7BFF" w:rsidRDefault="003C7BFF" w:rsidP="00CC1626">
            <w:pPr>
              <w:spacing w:after="121" w:line="275" w:lineRule="auto"/>
              <w:ind w:left="1" w:right="54"/>
            </w:pPr>
            <w:r>
              <w:rPr>
                <w:sz w:val="22"/>
              </w:rPr>
              <w:t xml:space="preserve">Exploiter des données de production et d’utilisation d’énergie à différentes échelles (mondiale, nationale, individuelle, …).  </w:t>
            </w:r>
          </w:p>
          <w:p w14:paraId="42899034" w14:textId="77777777" w:rsidR="003C7BFF" w:rsidRDefault="003C7BFF" w:rsidP="00CC1626">
            <w:pPr>
              <w:spacing w:after="136" w:line="259" w:lineRule="auto"/>
              <w:ind w:left="1"/>
            </w:pPr>
            <w:r>
              <w:rPr>
                <w:sz w:val="22"/>
              </w:rPr>
              <w:t xml:space="preserve"> </w:t>
            </w:r>
          </w:p>
          <w:p w14:paraId="741B10DB" w14:textId="326DEC6A" w:rsidR="003C7BFF" w:rsidRDefault="003C7BFF" w:rsidP="00CC1626">
            <w:pPr>
              <w:pStyle w:val="Default"/>
              <w:rPr>
                <w:sz w:val="22"/>
                <w:szCs w:val="22"/>
              </w:rPr>
            </w:pPr>
            <w:r>
              <w:rPr>
                <w:sz w:val="22"/>
              </w:rPr>
              <w:t xml:space="preserve">Comparer quelques ordres de grandeur d’énergie et de puissance : corps humain, objets du quotidien, centrale électrique, flux radiatif solaire, … </w:t>
            </w:r>
          </w:p>
        </w:tc>
        <w:tc>
          <w:tcPr>
            <w:tcW w:w="2410" w:type="dxa"/>
            <w:vMerge w:val="restart"/>
            <w:shd w:val="clear" w:color="auto" w:fill="BDD6EE" w:themeFill="accent5" w:themeFillTint="66"/>
          </w:tcPr>
          <w:p w14:paraId="4D629A91" w14:textId="77777777" w:rsidR="003C7BFF" w:rsidRPr="004E44AC" w:rsidRDefault="003C7BFF" w:rsidP="00CC1626">
            <w:pPr>
              <w:widowControl/>
              <w:kinsoku/>
              <w:autoSpaceDE w:val="0"/>
              <w:autoSpaceDN w:val="0"/>
              <w:adjustRightInd w:val="0"/>
              <w:rPr>
                <w:rFonts w:ascii="Cambria" w:eastAsiaTheme="minorHAnsi" w:hAnsi="Cambria" w:cs="Arial"/>
                <w:sz w:val="22"/>
                <w:szCs w:val="22"/>
                <w:lang w:eastAsia="en-US"/>
              </w:rPr>
            </w:pPr>
          </w:p>
          <w:p w14:paraId="0ECAB05A" w14:textId="1E564771" w:rsidR="003C7BFF" w:rsidRDefault="003C7BFF" w:rsidP="00CC1626">
            <w:pPr>
              <w:widowControl/>
              <w:kinsoku/>
              <w:autoSpaceDE w:val="0"/>
              <w:autoSpaceDN w:val="0"/>
              <w:adjustRightInd w:val="0"/>
            </w:pPr>
            <w:r>
              <w:t>L’unité internationale de l’énergie (J) et ses multiples sont connus et utilisés depuis le collège.</w:t>
            </w:r>
          </w:p>
          <w:p w14:paraId="6EFF819B" w14:textId="5B1C030E" w:rsidR="003C7BFF" w:rsidRDefault="003C7BFF" w:rsidP="00CC1626">
            <w:pPr>
              <w:widowControl/>
              <w:kinsoku/>
              <w:autoSpaceDE w:val="0"/>
              <w:autoSpaceDN w:val="0"/>
              <w:adjustRightInd w:val="0"/>
            </w:pPr>
          </w:p>
          <w:p w14:paraId="5CAE11B7" w14:textId="6287825D" w:rsidR="003C7BFF" w:rsidRPr="00014B73" w:rsidRDefault="003C7BFF" w:rsidP="00CC1626">
            <w:pPr>
              <w:widowControl/>
              <w:kinsoku/>
              <w:autoSpaceDE w:val="0"/>
              <w:autoSpaceDN w:val="0"/>
              <w:adjustRightInd w:val="0"/>
              <w:rPr>
                <w:b/>
              </w:rPr>
            </w:pPr>
            <w:r w:rsidRPr="00014B73">
              <w:rPr>
                <w:b/>
              </w:rPr>
              <w:t>Physique-chimie</w:t>
            </w:r>
          </w:p>
          <w:p w14:paraId="010008BC" w14:textId="77777777" w:rsidR="003C7BFF" w:rsidRDefault="003C7BFF" w:rsidP="00F34AFF">
            <w:pPr>
              <w:pStyle w:val="Default"/>
              <w:rPr>
                <w:sz w:val="22"/>
                <w:szCs w:val="22"/>
              </w:rPr>
            </w:pPr>
            <w:r>
              <w:rPr>
                <w:sz w:val="22"/>
                <w:szCs w:val="22"/>
              </w:rPr>
              <w:t xml:space="preserve">Identifier le réactif limitant à partir des quantités de matière des réactifs et de l'équation de réaction. </w:t>
            </w:r>
          </w:p>
          <w:p w14:paraId="6996F115" w14:textId="77777777" w:rsidR="003C7BFF" w:rsidRPr="008F7C00" w:rsidRDefault="003C7BFF" w:rsidP="00CC1626">
            <w:pPr>
              <w:widowControl/>
              <w:kinsoku/>
              <w:autoSpaceDE w:val="0"/>
              <w:autoSpaceDN w:val="0"/>
              <w:adjustRightInd w:val="0"/>
              <w:rPr>
                <w:rFonts w:ascii="Cambria" w:eastAsiaTheme="minorHAnsi" w:hAnsi="Cambria" w:cs="Arial"/>
                <w:color w:val="000000"/>
                <w:sz w:val="22"/>
                <w:szCs w:val="22"/>
                <w:lang w:eastAsia="en-US"/>
              </w:rPr>
            </w:pPr>
            <w:r>
              <w:rPr>
                <w:rFonts w:ascii="Cambria" w:eastAsiaTheme="minorHAnsi" w:hAnsi="Cambria" w:cs="Arial"/>
                <w:color w:val="000000"/>
                <w:sz w:val="22"/>
                <w:szCs w:val="22"/>
                <w:lang w:eastAsia="en-US"/>
              </w:rPr>
              <w:t xml:space="preserve"> </w:t>
            </w:r>
          </w:p>
          <w:p w14:paraId="39976613" w14:textId="0033BFB2" w:rsidR="003C7BFF" w:rsidRDefault="003C7BFF" w:rsidP="00F34AFF">
            <w:pPr>
              <w:pStyle w:val="Default"/>
              <w:rPr>
                <w:sz w:val="22"/>
                <w:szCs w:val="22"/>
              </w:rPr>
            </w:pPr>
            <w:r>
              <w:rPr>
                <w:sz w:val="22"/>
                <w:szCs w:val="22"/>
              </w:rPr>
              <w:t xml:space="preserve">Modéliser, par l’écriture d’une équation de réaction, la combustion du carbone et du méthane </w:t>
            </w:r>
          </w:p>
          <w:p w14:paraId="5C4DCC81" w14:textId="2FAB5D96" w:rsidR="003C7BFF" w:rsidRDefault="003C7BFF" w:rsidP="00F34AFF">
            <w:pPr>
              <w:pStyle w:val="Default"/>
              <w:rPr>
                <w:sz w:val="22"/>
                <w:szCs w:val="22"/>
              </w:rPr>
            </w:pPr>
          </w:p>
          <w:p w14:paraId="48935A02" w14:textId="3C86A02C" w:rsidR="003C7BFF" w:rsidRDefault="003C7BFF" w:rsidP="00F34AFF">
            <w:pPr>
              <w:pStyle w:val="Default"/>
              <w:rPr>
                <w:sz w:val="22"/>
                <w:szCs w:val="22"/>
              </w:rPr>
            </w:pPr>
            <w:r>
              <w:rPr>
                <w:sz w:val="22"/>
                <w:szCs w:val="22"/>
              </w:rPr>
              <w:t xml:space="preserve">Exploiter la relation entre l’énergie transférée lors d’un changement d’état et l’énergie massique de changement d’état de l’espèce. </w:t>
            </w:r>
          </w:p>
          <w:p w14:paraId="13BB92CD" w14:textId="1DFB7BA5" w:rsidR="003C7BFF" w:rsidRDefault="003C7BFF" w:rsidP="00F34AFF">
            <w:pPr>
              <w:pStyle w:val="Default"/>
              <w:rPr>
                <w:sz w:val="22"/>
                <w:szCs w:val="22"/>
              </w:rPr>
            </w:pPr>
          </w:p>
          <w:p w14:paraId="53C3331F" w14:textId="197E0311" w:rsidR="003C7BFF" w:rsidRDefault="003C7BFF" w:rsidP="00F34AFF">
            <w:pPr>
              <w:pStyle w:val="Default"/>
              <w:rPr>
                <w:sz w:val="22"/>
                <w:szCs w:val="22"/>
              </w:rPr>
            </w:pPr>
            <w:r>
              <w:rPr>
                <w:sz w:val="22"/>
                <w:szCs w:val="22"/>
              </w:rPr>
              <w:lastRenderedPageBreak/>
              <w:t>Conservation de la masse au cours d’une transformation chimique.</w:t>
            </w:r>
          </w:p>
          <w:p w14:paraId="5C321ADB" w14:textId="77777777" w:rsidR="003C7BFF" w:rsidRDefault="003C7BFF" w:rsidP="00F34AFF">
            <w:pPr>
              <w:pStyle w:val="Default"/>
              <w:rPr>
                <w:sz w:val="22"/>
                <w:szCs w:val="22"/>
              </w:rPr>
            </w:pPr>
          </w:p>
          <w:p w14:paraId="03A122F3" w14:textId="28413B91" w:rsidR="003C7BFF" w:rsidRPr="008F7C00" w:rsidRDefault="003C7BFF" w:rsidP="00CC1626">
            <w:pPr>
              <w:widowControl/>
              <w:kinsoku/>
              <w:autoSpaceDE w:val="0"/>
              <w:autoSpaceDN w:val="0"/>
              <w:adjustRightInd w:val="0"/>
              <w:rPr>
                <w:rFonts w:ascii="Cambria" w:eastAsiaTheme="minorHAnsi" w:hAnsi="Cambria" w:cs="Arial"/>
                <w:color w:val="000000"/>
                <w:sz w:val="22"/>
                <w:szCs w:val="22"/>
                <w:lang w:eastAsia="en-US"/>
              </w:rPr>
            </w:pPr>
          </w:p>
          <w:p w14:paraId="10DC12D6" w14:textId="77777777" w:rsidR="003C7BFF" w:rsidRPr="008F7C00" w:rsidRDefault="003C7BFF" w:rsidP="00CC1626">
            <w:pPr>
              <w:widowControl/>
              <w:kinsoku/>
              <w:autoSpaceDE w:val="0"/>
              <w:autoSpaceDN w:val="0"/>
              <w:adjustRightInd w:val="0"/>
            </w:pPr>
          </w:p>
        </w:tc>
        <w:tc>
          <w:tcPr>
            <w:tcW w:w="2551" w:type="dxa"/>
            <w:vMerge w:val="restart"/>
          </w:tcPr>
          <w:p w14:paraId="4ED0776A" w14:textId="77777777" w:rsidR="003C7BFF" w:rsidRDefault="003C7BFF" w:rsidP="00CC1626">
            <w:r>
              <w:lastRenderedPageBreak/>
              <w:t>De nouvelles unités d’énergie, pratiques selon le contexte sont introduites.</w:t>
            </w:r>
          </w:p>
          <w:p w14:paraId="4C6512B5" w14:textId="77777777" w:rsidR="003C7BFF" w:rsidRDefault="003C7BFF" w:rsidP="00CC1626"/>
          <w:p w14:paraId="65CB60AD" w14:textId="3D957669" w:rsidR="003C7BFF" w:rsidRDefault="003C7BFF" w:rsidP="00CC1626">
            <w:r>
              <w:t>Le bilan de matière d’une réaction chimique est un concept nouveau pour les élèves qui ne suivent pas la spécialité physique-chimie.</w:t>
            </w:r>
          </w:p>
        </w:tc>
        <w:tc>
          <w:tcPr>
            <w:tcW w:w="3395" w:type="dxa"/>
            <w:vMerge w:val="restart"/>
          </w:tcPr>
          <w:p w14:paraId="4648AAE2" w14:textId="4E32894D" w:rsidR="003C7BFF" w:rsidRDefault="003C7BFF" w:rsidP="00F34AFF">
            <w:r>
              <w:t>En physique-chimie, l’utilisation d’un tableau d’avancement pour dresser un bilan de matière et le calcul des quantités de matières à partir de grandeurs molaires ne sont travaillés qu’en spécialité à partir de la première.</w:t>
            </w:r>
          </w:p>
        </w:tc>
      </w:tr>
      <w:tr w:rsidR="003C7BFF" w14:paraId="6186E1FE" w14:textId="77777777" w:rsidTr="6554EDDE">
        <w:trPr>
          <w:gridAfter w:val="1"/>
          <w:wAfter w:w="47" w:type="dxa"/>
        </w:trPr>
        <w:tc>
          <w:tcPr>
            <w:tcW w:w="2872" w:type="dxa"/>
          </w:tcPr>
          <w:p w14:paraId="3E1369F6" w14:textId="77777777" w:rsidR="003C7BFF" w:rsidRDefault="003C7BFF" w:rsidP="00CC1626">
            <w:pPr>
              <w:spacing w:after="115" w:line="278" w:lineRule="auto"/>
              <w:ind w:right="48"/>
            </w:pPr>
            <w:r>
              <w:rPr>
                <w:sz w:val="22"/>
              </w:rPr>
              <w:t>La combustion de carburants fossiles et de biomasse libère du dioxyde de carbone et également des aérosols et d’autres substances (N</w:t>
            </w:r>
            <w:r>
              <w:rPr>
                <w:sz w:val="22"/>
                <w:vertAlign w:val="subscript"/>
              </w:rPr>
              <w:t>2</w:t>
            </w:r>
            <w:r>
              <w:rPr>
                <w:sz w:val="22"/>
              </w:rPr>
              <w:t>O, O</w:t>
            </w:r>
            <w:r>
              <w:rPr>
                <w:sz w:val="22"/>
                <w:vertAlign w:val="subscript"/>
              </w:rPr>
              <w:t>3</w:t>
            </w:r>
            <w:r>
              <w:rPr>
                <w:sz w:val="22"/>
              </w:rPr>
              <w:t xml:space="preserve">, suies, produits soufrés), qui affectent la qualité de l’air respiré et la santé. </w:t>
            </w:r>
          </w:p>
          <w:p w14:paraId="57B6C7A9" w14:textId="09D4D8D7" w:rsidR="003C7BFF" w:rsidRDefault="003C7BFF" w:rsidP="00CC1626">
            <w:pPr>
              <w:pStyle w:val="Default"/>
              <w:jc w:val="center"/>
              <w:rPr>
                <w:sz w:val="22"/>
                <w:szCs w:val="22"/>
              </w:rPr>
            </w:pPr>
            <w:r>
              <w:rPr>
                <w:sz w:val="22"/>
              </w:rPr>
              <w:t xml:space="preserve"> </w:t>
            </w:r>
          </w:p>
        </w:tc>
        <w:tc>
          <w:tcPr>
            <w:tcW w:w="3649" w:type="dxa"/>
            <w:vAlign w:val="bottom"/>
          </w:tcPr>
          <w:p w14:paraId="458F54BF" w14:textId="77777777" w:rsidR="003C7BFF" w:rsidRDefault="003C7BFF" w:rsidP="00CC1626">
            <w:pPr>
              <w:spacing w:after="121" w:line="275" w:lineRule="auto"/>
              <w:ind w:left="1" w:right="54"/>
            </w:pPr>
            <w:r>
              <w:rPr>
                <w:sz w:val="22"/>
              </w:rPr>
              <w:t xml:space="preserve">Calculer la masse de dioxyde de carbone produite par unité d’énergie dégagée pour différents combustibles (l’équation de réaction et l’énergie massique dégagée étant fournies). </w:t>
            </w:r>
          </w:p>
          <w:p w14:paraId="1A168892" w14:textId="26B2F669" w:rsidR="003C7BFF" w:rsidRDefault="003C7BFF" w:rsidP="00CC1626">
            <w:pPr>
              <w:pStyle w:val="Default"/>
              <w:rPr>
                <w:sz w:val="22"/>
                <w:szCs w:val="22"/>
              </w:rPr>
            </w:pPr>
            <w:r>
              <w:rPr>
                <w:sz w:val="22"/>
              </w:rPr>
              <w:t xml:space="preserve">À partir de documents épidémiologiques, identifier et expliquer les conséquences sur la santé de certains polluants atmosphériques, telles les particules fines résultant de combustions. </w:t>
            </w:r>
            <w:r>
              <w:rPr>
                <w:color w:val="FF0000"/>
                <w:sz w:val="22"/>
              </w:rPr>
              <w:t xml:space="preserve"> </w:t>
            </w:r>
          </w:p>
        </w:tc>
        <w:tc>
          <w:tcPr>
            <w:tcW w:w="2410" w:type="dxa"/>
            <w:vMerge/>
          </w:tcPr>
          <w:p w14:paraId="6D820B46" w14:textId="77777777" w:rsidR="003C7BFF" w:rsidRPr="004E44AC" w:rsidRDefault="003C7BFF" w:rsidP="00CC1626">
            <w:pPr>
              <w:widowControl/>
              <w:kinsoku/>
              <w:autoSpaceDE w:val="0"/>
              <w:autoSpaceDN w:val="0"/>
              <w:adjustRightInd w:val="0"/>
              <w:rPr>
                <w:rFonts w:ascii="Cambria" w:eastAsiaTheme="minorHAnsi" w:hAnsi="Cambria" w:cs="Arial"/>
                <w:sz w:val="22"/>
                <w:szCs w:val="22"/>
                <w:lang w:eastAsia="en-US"/>
              </w:rPr>
            </w:pPr>
          </w:p>
        </w:tc>
        <w:tc>
          <w:tcPr>
            <w:tcW w:w="2551" w:type="dxa"/>
            <w:vMerge/>
          </w:tcPr>
          <w:p w14:paraId="30F76C26" w14:textId="77777777" w:rsidR="003C7BFF" w:rsidRDefault="003C7BFF" w:rsidP="00CC1626"/>
        </w:tc>
        <w:tc>
          <w:tcPr>
            <w:tcW w:w="3395" w:type="dxa"/>
            <w:vMerge/>
          </w:tcPr>
          <w:p w14:paraId="1EFCC10D" w14:textId="77777777" w:rsidR="003C7BFF" w:rsidRDefault="003C7BFF" w:rsidP="00CC1626"/>
        </w:tc>
      </w:tr>
      <w:tr w:rsidR="003C7BFF" w14:paraId="4F6CF01E" w14:textId="77777777" w:rsidTr="6554EDDE">
        <w:trPr>
          <w:gridAfter w:val="1"/>
          <w:wAfter w:w="47" w:type="dxa"/>
        </w:trPr>
        <w:tc>
          <w:tcPr>
            <w:tcW w:w="2872" w:type="dxa"/>
          </w:tcPr>
          <w:p w14:paraId="3AA3D783" w14:textId="77777777" w:rsidR="003C7BFF" w:rsidRDefault="003C7BFF" w:rsidP="00CC1626">
            <w:pPr>
              <w:spacing w:after="115" w:line="278" w:lineRule="auto"/>
              <w:ind w:right="48"/>
            </w:pPr>
            <w:r>
              <w:rPr>
                <w:sz w:val="22"/>
              </w:rPr>
              <w:t>L’empreinte carbone d’une activité ou d’une personne est la masse de CO</w:t>
            </w:r>
            <w:r>
              <w:rPr>
                <w:sz w:val="22"/>
                <w:vertAlign w:val="subscript"/>
              </w:rPr>
              <w:t>2</w:t>
            </w:r>
            <w:r>
              <w:rPr>
                <w:sz w:val="22"/>
              </w:rPr>
              <w:t xml:space="preserve"> produite directement ou indirectement par sa consommation d’énergie et/ou de matière première. </w:t>
            </w:r>
          </w:p>
          <w:p w14:paraId="586507B5" w14:textId="3A8F8D5D" w:rsidR="003C7BFF" w:rsidRDefault="003C7BFF" w:rsidP="00CC1626">
            <w:pPr>
              <w:pStyle w:val="Default"/>
              <w:jc w:val="center"/>
              <w:rPr>
                <w:sz w:val="22"/>
                <w:szCs w:val="22"/>
              </w:rPr>
            </w:pPr>
            <w:r>
              <w:rPr>
                <w:sz w:val="22"/>
              </w:rPr>
              <w:t xml:space="preserve"> </w:t>
            </w:r>
          </w:p>
        </w:tc>
        <w:tc>
          <w:tcPr>
            <w:tcW w:w="3649" w:type="dxa"/>
            <w:vAlign w:val="bottom"/>
          </w:tcPr>
          <w:p w14:paraId="302EFB48" w14:textId="77777777" w:rsidR="003C7BFF" w:rsidRDefault="003C7BFF" w:rsidP="00CC1626">
            <w:pPr>
              <w:spacing w:after="121" w:line="275" w:lineRule="auto"/>
              <w:ind w:left="1" w:right="54"/>
            </w:pPr>
            <w:r>
              <w:rPr>
                <w:sz w:val="22"/>
              </w:rPr>
              <w:t xml:space="preserve">Comparer sur l’ensemble de leur cycle de vie les impacts d’objets industriels (par exemple, voiture à moteur électrique ou à essence).  </w:t>
            </w:r>
          </w:p>
          <w:p w14:paraId="36E58CFC" w14:textId="156AD279" w:rsidR="003C7BFF" w:rsidRDefault="003C7BFF" w:rsidP="00CC1626">
            <w:pPr>
              <w:pStyle w:val="Default"/>
              <w:rPr>
                <w:sz w:val="22"/>
                <w:szCs w:val="22"/>
              </w:rPr>
            </w:pPr>
            <w:r>
              <w:rPr>
                <w:sz w:val="22"/>
              </w:rPr>
              <w:t xml:space="preserve">À partir de documents, analyser l’empreinte carbone de différentes activités humaines et proposer des comportements pour la minimiser ou la compenser.  </w:t>
            </w:r>
          </w:p>
        </w:tc>
        <w:tc>
          <w:tcPr>
            <w:tcW w:w="2410" w:type="dxa"/>
            <w:vMerge/>
          </w:tcPr>
          <w:p w14:paraId="1F5E7E69" w14:textId="77777777" w:rsidR="003C7BFF" w:rsidRPr="004E44AC" w:rsidRDefault="003C7BFF" w:rsidP="00CC1626">
            <w:pPr>
              <w:widowControl/>
              <w:kinsoku/>
              <w:autoSpaceDE w:val="0"/>
              <w:autoSpaceDN w:val="0"/>
              <w:adjustRightInd w:val="0"/>
              <w:rPr>
                <w:rFonts w:ascii="Cambria" w:eastAsiaTheme="minorHAnsi" w:hAnsi="Cambria" w:cs="Arial"/>
                <w:sz w:val="22"/>
                <w:szCs w:val="22"/>
                <w:lang w:eastAsia="en-US"/>
              </w:rPr>
            </w:pPr>
          </w:p>
        </w:tc>
        <w:tc>
          <w:tcPr>
            <w:tcW w:w="2551" w:type="dxa"/>
            <w:vMerge/>
          </w:tcPr>
          <w:p w14:paraId="072433FA" w14:textId="77777777" w:rsidR="003C7BFF" w:rsidRDefault="003C7BFF" w:rsidP="00CC1626"/>
        </w:tc>
        <w:tc>
          <w:tcPr>
            <w:tcW w:w="3395" w:type="dxa"/>
            <w:vMerge/>
          </w:tcPr>
          <w:p w14:paraId="12EAA948" w14:textId="77777777" w:rsidR="003C7BFF" w:rsidRDefault="003C7BFF" w:rsidP="00CC1626"/>
        </w:tc>
      </w:tr>
      <w:tr w:rsidR="003C7BFF" w14:paraId="3760F78A" w14:textId="77777777" w:rsidTr="6554EDDE">
        <w:trPr>
          <w:gridAfter w:val="1"/>
          <w:wAfter w:w="47" w:type="dxa"/>
        </w:trPr>
        <w:tc>
          <w:tcPr>
            <w:tcW w:w="2872" w:type="dxa"/>
            <w:vAlign w:val="bottom"/>
          </w:tcPr>
          <w:p w14:paraId="3E193337" w14:textId="77777777" w:rsidR="003C7BFF" w:rsidRDefault="003C7BFF" w:rsidP="00CC1626">
            <w:pPr>
              <w:spacing w:after="118" w:line="275" w:lineRule="auto"/>
              <w:ind w:right="49"/>
            </w:pPr>
            <w:r>
              <w:rPr>
                <w:sz w:val="22"/>
              </w:rPr>
              <w:t xml:space="preserve">Les scénarios de transition écologique font différentes hypothèses sur la quantité de GES émise dans le futur. Ils évaluent les changements </w:t>
            </w:r>
            <w:r>
              <w:rPr>
                <w:sz w:val="22"/>
              </w:rPr>
              <w:lastRenderedPageBreak/>
              <w:t xml:space="preserve">prévisibles, affectant les écosystèmes et les conditions de vie des êtres humains, principalement les plus fragiles. </w:t>
            </w:r>
          </w:p>
          <w:p w14:paraId="4659E5DE" w14:textId="67CE94DA" w:rsidR="003C7BFF" w:rsidRDefault="003C7BFF" w:rsidP="00CC1626">
            <w:pPr>
              <w:pStyle w:val="Default"/>
              <w:jc w:val="center"/>
              <w:rPr>
                <w:sz w:val="22"/>
                <w:szCs w:val="22"/>
              </w:rPr>
            </w:pPr>
            <w:r>
              <w:rPr>
                <w:sz w:val="22"/>
              </w:rPr>
              <w:t xml:space="preserve">Les projections fournies par les modèles permettent de définir les aléas et peuvent orienter les prises de décision. Les mesures d’adaptation découlent d’une analyse des risques et des options pour y faire face.  </w:t>
            </w:r>
          </w:p>
        </w:tc>
        <w:tc>
          <w:tcPr>
            <w:tcW w:w="3649" w:type="dxa"/>
          </w:tcPr>
          <w:p w14:paraId="7B316128" w14:textId="77777777" w:rsidR="003C7BFF" w:rsidRDefault="003C7BFF" w:rsidP="00CC1626">
            <w:pPr>
              <w:spacing w:after="116"/>
              <w:ind w:left="1"/>
              <w:rPr>
                <w:sz w:val="22"/>
              </w:rPr>
            </w:pPr>
          </w:p>
          <w:p w14:paraId="3069464D" w14:textId="77777777" w:rsidR="003C7BFF" w:rsidRDefault="003C7BFF" w:rsidP="00CC1626">
            <w:pPr>
              <w:spacing w:after="116"/>
              <w:ind w:left="1"/>
            </w:pPr>
            <w:r>
              <w:rPr>
                <w:sz w:val="22"/>
              </w:rPr>
              <w:t>Analyser l’impact de l’augmentation du CO</w:t>
            </w:r>
            <w:r>
              <w:rPr>
                <w:sz w:val="22"/>
                <w:vertAlign w:val="subscript"/>
              </w:rPr>
              <w:t>2</w:t>
            </w:r>
            <w:r>
              <w:rPr>
                <w:sz w:val="22"/>
              </w:rPr>
              <w:t xml:space="preserve"> sur le développement de la végétation. </w:t>
            </w:r>
          </w:p>
          <w:p w14:paraId="51BABABC" w14:textId="77777777" w:rsidR="003C7BFF" w:rsidRDefault="003C7BFF" w:rsidP="00CC1626">
            <w:pPr>
              <w:spacing w:after="139" w:line="259" w:lineRule="auto"/>
              <w:ind w:left="1"/>
            </w:pPr>
            <w:r>
              <w:rPr>
                <w:sz w:val="22"/>
              </w:rPr>
              <w:lastRenderedPageBreak/>
              <w:t xml:space="preserve"> </w:t>
            </w:r>
          </w:p>
          <w:p w14:paraId="039A9212" w14:textId="77777777" w:rsidR="003C7BFF" w:rsidRDefault="003C7BFF" w:rsidP="00CC1626">
            <w:pPr>
              <w:spacing w:after="121" w:line="275" w:lineRule="auto"/>
              <w:ind w:left="1" w:right="54"/>
            </w:pPr>
            <w:r>
              <w:rPr>
                <w:sz w:val="22"/>
              </w:rPr>
              <w:t xml:space="preserve">Analyser des extraits de documents du GIEC ou d’accords internationaux proposant différents scénarios.  </w:t>
            </w:r>
          </w:p>
          <w:p w14:paraId="01D458EF" w14:textId="5BE272DC" w:rsidR="003C7BFF" w:rsidRDefault="003C7BFF" w:rsidP="00CC1626">
            <w:pPr>
              <w:pStyle w:val="Default"/>
              <w:rPr>
                <w:sz w:val="22"/>
                <w:szCs w:val="22"/>
              </w:rPr>
            </w:pPr>
            <w:r>
              <w:rPr>
                <w:sz w:val="22"/>
              </w:rPr>
              <w:t xml:space="preserve"> </w:t>
            </w:r>
          </w:p>
        </w:tc>
        <w:tc>
          <w:tcPr>
            <w:tcW w:w="2410" w:type="dxa"/>
            <w:vMerge/>
          </w:tcPr>
          <w:p w14:paraId="4A646FC9" w14:textId="77777777" w:rsidR="003C7BFF" w:rsidRPr="004E44AC" w:rsidRDefault="003C7BFF" w:rsidP="00CC1626">
            <w:pPr>
              <w:widowControl/>
              <w:kinsoku/>
              <w:autoSpaceDE w:val="0"/>
              <w:autoSpaceDN w:val="0"/>
              <w:adjustRightInd w:val="0"/>
              <w:rPr>
                <w:rFonts w:ascii="Cambria" w:eastAsiaTheme="minorHAnsi" w:hAnsi="Cambria" w:cs="Arial"/>
                <w:sz w:val="22"/>
                <w:szCs w:val="22"/>
                <w:lang w:eastAsia="en-US"/>
              </w:rPr>
            </w:pPr>
          </w:p>
        </w:tc>
        <w:tc>
          <w:tcPr>
            <w:tcW w:w="2551" w:type="dxa"/>
            <w:vMerge/>
          </w:tcPr>
          <w:p w14:paraId="0A215D3F" w14:textId="77777777" w:rsidR="003C7BFF" w:rsidRDefault="003C7BFF" w:rsidP="00CC1626"/>
        </w:tc>
        <w:tc>
          <w:tcPr>
            <w:tcW w:w="3395" w:type="dxa"/>
            <w:vMerge/>
          </w:tcPr>
          <w:p w14:paraId="3D030198" w14:textId="77777777" w:rsidR="003C7BFF" w:rsidRDefault="003C7BFF" w:rsidP="00CC1626"/>
        </w:tc>
      </w:tr>
    </w:tbl>
    <w:p w14:paraId="010DA12A" w14:textId="214FD4C6" w:rsidR="00455303" w:rsidRDefault="00455303" w:rsidP="003D64B8">
      <w:pPr>
        <w:tabs>
          <w:tab w:val="left" w:pos="1216"/>
        </w:tabs>
      </w:pPr>
    </w:p>
    <w:p w14:paraId="0EA27CF6" w14:textId="77777777" w:rsidR="00455303" w:rsidRDefault="00455303">
      <w:pPr>
        <w:widowControl/>
        <w:kinsoku/>
        <w:spacing w:after="160" w:line="259" w:lineRule="auto"/>
      </w:pPr>
      <w:r>
        <w:br w:type="page"/>
      </w:r>
    </w:p>
    <w:p w14:paraId="55A11FDA" w14:textId="77777777" w:rsidR="00C00448" w:rsidRDefault="00C00448" w:rsidP="003D64B8">
      <w:pPr>
        <w:tabs>
          <w:tab w:val="left" w:pos="1216"/>
        </w:tabs>
      </w:pPr>
    </w:p>
    <w:tbl>
      <w:tblPr>
        <w:tblStyle w:val="Grilledutableau"/>
        <w:tblW w:w="14601" w:type="dxa"/>
        <w:tblInd w:w="-572" w:type="dxa"/>
        <w:tblLook w:val="04A0" w:firstRow="1" w:lastRow="0" w:firstColumn="1" w:lastColumn="0" w:noHBand="0" w:noVBand="1"/>
      </w:tblPr>
      <w:tblGrid>
        <w:gridCol w:w="3402"/>
        <w:gridCol w:w="2987"/>
        <w:gridCol w:w="2830"/>
        <w:gridCol w:w="2405"/>
        <w:gridCol w:w="2977"/>
      </w:tblGrid>
      <w:tr w:rsidR="003D64B8" w14:paraId="745CB05D" w14:textId="77777777" w:rsidTr="681B9274">
        <w:tc>
          <w:tcPr>
            <w:tcW w:w="14601" w:type="dxa"/>
            <w:gridSpan w:val="5"/>
            <w:shd w:val="clear" w:color="auto" w:fill="297C8D"/>
          </w:tcPr>
          <w:p w14:paraId="07416F6F" w14:textId="3C0640AB" w:rsidR="003D64B8" w:rsidRDefault="003C7BFF" w:rsidP="0071240D">
            <w:r>
              <w:rPr>
                <w:rFonts w:ascii="Arial" w:hAnsi="Arial" w:cs="Arial"/>
                <w:b/>
                <w:bCs/>
                <w:color w:val="FFFFFF" w:themeColor="background1"/>
                <w:spacing w:val="-1"/>
                <w:w w:val="105"/>
                <w:sz w:val="22"/>
                <w:szCs w:val="22"/>
              </w:rPr>
              <w:t>2 – Le futur des énergies</w:t>
            </w:r>
          </w:p>
        </w:tc>
      </w:tr>
      <w:tr w:rsidR="006A383F" w:rsidRPr="00665303" w14:paraId="0EEF35DE" w14:textId="77777777" w:rsidTr="681B9274">
        <w:tc>
          <w:tcPr>
            <w:tcW w:w="14601" w:type="dxa"/>
            <w:gridSpan w:val="5"/>
            <w:vAlign w:val="center"/>
          </w:tcPr>
          <w:p w14:paraId="01949EBE" w14:textId="77777777" w:rsidR="006A383F" w:rsidRDefault="006A383F" w:rsidP="006A383F">
            <w:pPr>
              <w:spacing w:after="120" w:line="239" w:lineRule="auto"/>
              <w:ind w:right="47"/>
            </w:pPr>
            <w:r>
              <w:rPr>
                <w:i/>
                <w:sz w:val="22"/>
              </w:rPr>
              <w:t xml:space="preserve">Parmi les énergies, l’électricité joue un rôle majeur dans le développement économique. Produire de l’électricité sans contribuer au réchauffement climatique, en concevoir le stockage sous d’autres formes, optimiser son transport deviennent des objectifs majeurs d’une transition climatique et environnementale.  </w:t>
            </w:r>
          </w:p>
          <w:p w14:paraId="22E6E516" w14:textId="3D9A89E2" w:rsidR="006A383F" w:rsidRPr="00665303" w:rsidRDefault="006A383F" w:rsidP="006A383F">
            <w:pPr>
              <w:pStyle w:val="Default"/>
              <w:rPr>
                <w:sz w:val="22"/>
                <w:szCs w:val="22"/>
              </w:rPr>
            </w:pPr>
            <w:r>
              <w:rPr>
                <w:i/>
                <w:sz w:val="22"/>
              </w:rPr>
              <w:t xml:space="preserve">L’histoire du développement des générateurs d’électricité fournit de féconds exemples d’échanges entre la science fondamentale, la technologie et l’industrie.  </w:t>
            </w:r>
          </w:p>
        </w:tc>
      </w:tr>
      <w:tr w:rsidR="006A383F" w14:paraId="64C12F07" w14:textId="77777777" w:rsidTr="681B9274">
        <w:tc>
          <w:tcPr>
            <w:tcW w:w="14601" w:type="dxa"/>
            <w:gridSpan w:val="5"/>
            <w:vAlign w:val="center"/>
          </w:tcPr>
          <w:p w14:paraId="16388D6A" w14:textId="77777777" w:rsidR="006A383F" w:rsidRDefault="006A383F" w:rsidP="006A383F">
            <w:pPr>
              <w:spacing w:after="70" w:line="259" w:lineRule="auto"/>
            </w:pPr>
            <w:r>
              <w:rPr>
                <w:b/>
                <w:color w:val="007F9F"/>
              </w:rPr>
              <w:t xml:space="preserve">Histoire, enjeux, débat </w:t>
            </w:r>
          </w:p>
          <w:p w14:paraId="1295DD13" w14:textId="77777777" w:rsidR="006A383F" w:rsidRDefault="006A383F" w:rsidP="006A383F">
            <w:pPr>
              <w:widowControl/>
              <w:numPr>
                <w:ilvl w:val="0"/>
                <w:numId w:val="12"/>
              </w:numPr>
              <w:kinsoku/>
              <w:spacing w:after="22" w:line="259" w:lineRule="auto"/>
            </w:pPr>
            <w:r>
              <w:rPr>
                <w:sz w:val="22"/>
              </w:rPr>
              <w:t>L’essor de l’électromagnétisme au XIX</w:t>
            </w:r>
            <w:r>
              <w:rPr>
                <w:sz w:val="22"/>
                <w:vertAlign w:val="superscript"/>
              </w:rPr>
              <w:t>e</w:t>
            </w:r>
            <w:r>
              <w:rPr>
                <w:sz w:val="22"/>
              </w:rPr>
              <w:t xml:space="preserve"> siècle. </w:t>
            </w:r>
          </w:p>
          <w:p w14:paraId="1A4ED2E8" w14:textId="77777777" w:rsidR="006A383F" w:rsidRDefault="006A383F" w:rsidP="006A383F">
            <w:pPr>
              <w:widowControl/>
              <w:numPr>
                <w:ilvl w:val="0"/>
                <w:numId w:val="12"/>
              </w:numPr>
              <w:kinsoku/>
              <w:spacing w:after="7" w:line="259" w:lineRule="auto"/>
            </w:pPr>
            <w:r>
              <w:rPr>
                <w:sz w:val="22"/>
              </w:rPr>
              <w:t xml:space="preserve">Einstein et les quanta. </w:t>
            </w:r>
          </w:p>
          <w:p w14:paraId="5CFDE02D" w14:textId="77777777" w:rsidR="006A383F" w:rsidRDefault="006A383F" w:rsidP="006A383F">
            <w:pPr>
              <w:widowControl/>
              <w:numPr>
                <w:ilvl w:val="0"/>
                <w:numId w:val="12"/>
              </w:numPr>
              <w:kinsoku/>
              <w:spacing w:line="264" w:lineRule="auto"/>
            </w:pPr>
            <w:r>
              <w:rPr>
                <w:sz w:val="22"/>
              </w:rPr>
              <w:t xml:space="preserve">Aspects historiques de la distribution d’énergie électrique. </w:t>
            </w:r>
            <w:r>
              <w:rPr>
                <w:rFonts w:ascii="Segoe UI Symbol" w:eastAsia="Segoe UI Symbol" w:hAnsi="Segoe UI Symbol" w:cs="Segoe UI Symbol"/>
                <w:color w:val="0062AC"/>
              </w:rPr>
              <w:t></w:t>
            </w:r>
            <w:r>
              <w:rPr>
                <w:rFonts w:ascii="Arial" w:eastAsia="Arial" w:hAnsi="Arial" w:cs="Arial"/>
                <w:b/>
                <w:color w:val="0062AC"/>
              </w:rPr>
              <w:t xml:space="preserve"> </w:t>
            </w:r>
            <w:r>
              <w:rPr>
                <w:sz w:val="22"/>
              </w:rPr>
              <w:t xml:space="preserve">Les combustibles alternatifs à empreinte carbone réduite.  </w:t>
            </w:r>
          </w:p>
          <w:p w14:paraId="128E0CA5" w14:textId="77777777" w:rsidR="006A383F" w:rsidRDefault="006A383F" w:rsidP="006A383F">
            <w:pPr>
              <w:widowControl/>
              <w:numPr>
                <w:ilvl w:val="0"/>
                <w:numId w:val="12"/>
              </w:numPr>
              <w:kinsoku/>
              <w:spacing w:after="6" w:line="259" w:lineRule="auto"/>
            </w:pPr>
            <w:r>
              <w:rPr>
                <w:sz w:val="22"/>
              </w:rPr>
              <w:t xml:space="preserve">Les enjeux de l’utilisation de l’énergie nucléaire : de la fission à la fusion contrôlée. </w:t>
            </w:r>
          </w:p>
          <w:p w14:paraId="1EB6C570" w14:textId="6E87D7CD" w:rsidR="006A383F" w:rsidRPr="003D64B8" w:rsidRDefault="006A383F" w:rsidP="006A383F">
            <w:pPr>
              <w:rPr>
                <w:rFonts w:ascii="Arial" w:hAnsi="Arial" w:cs="Arial"/>
              </w:rPr>
            </w:pPr>
            <w:r>
              <w:rPr>
                <w:sz w:val="22"/>
              </w:rPr>
              <w:t xml:space="preserve">Les accumulateurs électrochimiques dans la société. </w:t>
            </w:r>
          </w:p>
        </w:tc>
      </w:tr>
      <w:tr w:rsidR="006A383F" w14:paraId="4496E912" w14:textId="77777777" w:rsidTr="681B9274">
        <w:tc>
          <w:tcPr>
            <w:tcW w:w="14601" w:type="dxa"/>
            <w:gridSpan w:val="5"/>
          </w:tcPr>
          <w:p w14:paraId="3B632F6A" w14:textId="77777777" w:rsidR="006A383F" w:rsidRDefault="006A383F" w:rsidP="006A383F">
            <w:pPr>
              <w:spacing w:after="89" w:line="259" w:lineRule="auto"/>
            </w:pPr>
            <w:r>
              <w:rPr>
                <w:b/>
                <w:color w:val="007F9F"/>
              </w:rPr>
              <w:t xml:space="preserve">2.1 Deux siècles d’énergie électrique </w:t>
            </w:r>
          </w:p>
          <w:p w14:paraId="671EC2E8" w14:textId="77777777" w:rsidR="006A383F" w:rsidRDefault="006A383F" w:rsidP="006A383F">
            <w:pPr>
              <w:spacing w:after="108" w:line="250" w:lineRule="auto"/>
              <w:ind w:right="52"/>
            </w:pPr>
            <w:r>
              <w:rPr>
                <w:i/>
                <w:sz w:val="22"/>
              </w:rPr>
              <w:t>Depuis le XIX</w:t>
            </w:r>
            <w:r>
              <w:rPr>
                <w:i/>
                <w:sz w:val="22"/>
                <w:vertAlign w:val="superscript"/>
              </w:rPr>
              <w:t>e</w:t>
            </w:r>
            <w:r>
              <w:rPr>
                <w:i/>
                <w:sz w:val="22"/>
              </w:rPr>
              <w:t xml:space="preserve"> siècle, les progrès de la recherche scientifique fondamentale et de l’invention technique ont conduit à développer des générateurs électriques pratiques, performants, à l’impact climatique et environnemental de moins en moins marqué.  </w:t>
            </w:r>
          </w:p>
          <w:p w14:paraId="50C8DB6E" w14:textId="22283079" w:rsidR="006A383F" w:rsidRPr="003D64B8" w:rsidRDefault="006A383F" w:rsidP="006A383F">
            <w:pPr>
              <w:spacing w:before="72"/>
              <w:ind w:left="34"/>
              <w:rPr>
                <w:rFonts w:ascii="Arial" w:hAnsi="Arial" w:cs="Arial"/>
              </w:rPr>
            </w:pPr>
            <w:r>
              <w:rPr>
                <w:i/>
                <w:sz w:val="22"/>
              </w:rPr>
              <w:t>Historiquement, le développement des techniques d’obtention d’énergie électrique s’est appuyé sur des découvertes expérimentales et des avancées théoriques qui furent souvent le résultat de recherches dont ce développement n’était pas le but premier. Il est ainsi fréquent que les résultats de la recherche fondamentale aboutissent à des innovations technologiques non anticipées.</w:t>
            </w:r>
            <w:r>
              <w:rPr>
                <w:sz w:val="22"/>
              </w:rPr>
              <w:t xml:space="preserve"> </w:t>
            </w:r>
            <w:r>
              <w:rPr>
                <w:color w:val="0000FF"/>
                <w:sz w:val="22"/>
              </w:rPr>
              <w:t xml:space="preserve"> </w:t>
            </w:r>
          </w:p>
        </w:tc>
      </w:tr>
      <w:tr w:rsidR="006A383F" w:rsidRPr="007F4857" w14:paraId="21341938" w14:textId="77777777" w:rsidTr="681B9274">
        <w:tc>
          <w:tcPr>
            <w:tcW w:w="3402" w:type="dxa"/>
            <w:tcBorders>
              <w:top w:val="single" w:sz="4" w:space="0" w:color="auto"/>
              <w:left w:val="single" w:sz="4" w:space="0" w:color="auto"/>
              <w:bottom w:val="single" w:sz="4" w:space="0" w:color="auto"/>
              <w:right w:val="single" w:sz="4" w:space="0" w:color="auto"/>
            </w:tcBorders>
            <w:vAlign w:val="center"/>
          </w:tcPr>
          <w:p w14:paraId="6C7836C5" w14:textId="0C74E445" w:rsidR="006A383F" w:rsidRDefault="006A383F" w:rsidP="006A383F">
            <w:r>
              <w:rPr>
                <w:rFonts w:ascii="Arial" w:hAnsi="Arial" w:cs="Arial"/>
                <w:b/>
                <w:bCs/>
                <w:sz w:val="22"/>
                <w:szCs w:val="22"/>
              </w:rPr>
              <w:t>Savoirs</w:t>
            </w:r>
          </w:p>
        </w:tc>
        <w:tc>
          <w:tcPr>
            <w:tcW w:w="2987" w:type="dxa"/>
            <w:tcBorders>
              <w:top w:val="single" w:sz="4" w:space="0" w:color="auto"/>
              <w:left w:val="single" w:sz="4" w:space="0" w:color="auto"/>
              <w:bottom w:val="single" w:sz="4" w:space="0" w:color="auto"/>
              <w:right w:val="single" w:sz="4" w:space="0" w:color="auto"/>
            </w:tcBorders>
            <w:vAlign w:val="center"/>
          </w:tcPr>
          <w:p w14:paraId="5ADA1E99" w14:textId="0D315684" w:rsidR="006A383F" w:rsidRDefault="006A383F" w:rsidP="006A383F">
            <w:r>
              <w:rPr>
                <w:rFonts w:ascii="Arial" w:hAnsi="Arial" w:cs="Arial"/>
                <w:b/>
                <w:bCs/>
                <w:sz w:val="22"/>
                <w:szCs w:val="22"/>
              </w:rPr>
              <w:t>Savoir-faire</w:t>
            </w:r>
          </w:p>
        </w:tc>
        <w:tc>
          <w:tcPr>
            <w:tcW w:w="2830" w:type="dxa"/>
            <w:shd w:val="clear" w:color="auto" w:fill="BDD6EE" w:themeFill="accent5" w:themeFillTint="66"/>
          </w:tcPr>
          <w:p w14:paraId="7CD4B74F" w14:textId="3DC4DBD6" w:rsidR="006A383F" w:rsidRDefault="006A383F" w:rsidP="006A383F">
            <w:r>
              <w:rPr>
                <w:rFonts w:asciiTheme="minorHAnsi" w:hAnsiTheme="minorHAnsi" w:cstheme="minorHAnsi"/>
                <w:b/>
              </w:rPr>
              <w:t>Capacités exigibles de remobilisables</w:t>
            </w:r>
          </w:p>
        </w:tc>
        <w:tc>
          <w:tcPr>
            <w:tcW w:w="2405" w:type="dxa"/>
          </w:tcPr>
          <w:p w14:paraId="078948D7" w14:textId="5E36C794" w:rsidR="006A383F" w:rsidRDefault="006A383F" w:rsidP="006A383F">
            <w:r w:rsidRPr="000C5D32">
              <w:rPr>
                <w:rFonts w:asciiTheme="minorHAnsi" w:hAnsiTheme="minorHAnsi" w:cstheme="minorHAnsi"/>
                <w:b/>
              </w:rPr>
              <w:t>S</w:t>
            </w:r>
            <w:r>
              <w:rPr>
                <w:rFonts w:asciiTheme="minorHAnsi" w:hAnsiTheme="minorHAnsi" w:cstheme="minorHAnsi"/>
                <w:b/>
              </w:rPr>
              <w:t>aut conceptuel en terminale</w:t>
            </w:r>
          </w:p>
        </w:tc>
        <w:tc>
          <w:tcPr>
            <w:tcW w:w="2977" w:type="dxa"/>
          </w:tcPr>
          <w:p w14:paraId="38BC0C64" w14:textId="0D5ECFC7" w:rsidR="006A383F" w:rsidRPr="007F4857" w:rsidRDefault="006A383F" w:rsidP="006A383F">
            <w:pPr>
              <w:rPr>
                <w:rFonts w:asciiTheme="minorHAnsi" w:hAnsiTheme="minorHAnsi" w:cstheme="minorHAnsi"/>
                <w:b/>
              </w:rPr>
            </w:pPr>
            <w:r w:rsidRPr="007F4857">
              <w:rPr>
                <w:rFonts w:asciiTheme="minorHAnsi" w:hAnsiTheme="minorHAnsi" w:cstheme="minorHAnsi"/>
                <w:b/>
              </w:rPr>
              <w:t>Liens avec les programmes de spécialité</w:t>
            </w:r>
          </w:p>
        </w:tc>
      </w:tr>
      <w:tr w:rsidR="006A383F" w14:paraId="0D07EB17" w14:textId="77777777" w:rsidTr="681B9274">
        <w:tc>
          <w:tcPr>
            <w:tcW w:w="3402" w:type="dxa"/>
            <w:vAlign w:val="bottom"/>
          </w:tcPr>
          <w:p w14:paraId="533D13F5" w14:textId="77777777" w:rsidR="006A383F" w:rsidRDefault="006A383F" w:rsidP="006A383F">
            <w:pPr>
              <w:spacing w:after="130" w:line="284" w:lineRule="auto"/>
              <w:ind w:right="49"/>
            </w:pPr>
            <w:r>
              <w:rPr>
                <w:sz w:val="22"/>
              </w:rPr>
              <w:t>Les alternateurs électriques exploitent le phénomène d’induction électromagnétique découvert par Faraday puis théorisé par Maxwell au XIX</w:t>
            </w:r>
            <w:r>
              <w:rPr>
                <w:sz w:val="22"/>
                <w:vertAlign w:val="superscript"/>
              </w:rPr>
              <w:t>e</w:t>
            </w:r>
            <w:r>
              <w:rPr>
                <w:sz w:val="22"/>
              </w:rPr>
              <w:t xml:space="preserve"> siècle. </w:t>
            </w:r>
          </w:p>
          <w:p w14:paraId="693384A7" w14:textId="77777777" w:rsidR="006A383F" w:rsidRDefault="006A383F" w:rsidP="006A383F">
            <w:pPr>
              <w:spacing w:after="255" w:line="275" w:lineRule="auto"/>
              <w:ind w:right="48"/>
            </w:pPr>
            <w:r>
              <w:rPr>
                <w:sz w:val="22"/>
              </w:rPr>
              <w:t xml:space="preserve">Ils réalisent une conversion d’énergie mécanique en énergie électrique avec un rendement </w:t>
            </w:r>
            <w:r>
              <w:rPr>
                <w:sz w:val="22"/>
              </w:rPr>
              <w:lastRenderedPageBreak/>
              <w:t xml:space="preserve">potentiellement très proche de 1. </w:t>
            </w:r>
          </w:p>
          <w:p w14:paraId="7874F506" w14:textId="77777777" w:rsidR="006A383F" w:rsidRDefault="006A383F" w:rsidP="006A383F">
            <w:pPr>
              <w:spacing w:after="122" w:line="275" w:lineRule="auto"/>
              <w:ind w:right="50"/>
            </w:pPr>
            <w:r>
              <w:rPr>
                <w:sz w:val="22"/>
              </w:rPr>
              <w:t>Au début du XX</w:t>
            </w:r>
            <w:r>
              <w:rPr>
                <w:sz w:val="22"/>
                <w:vertAlign w:val="superscript"/>
              </w:rPr>
              <w:t>e</w:t>
            </w:r>
            <w:r>
              <w:rPr>
                <w:sz w:val="22"/>
              </w:rPr>
              <w:t xml:space="preserve"> siècle, la physique a connu une révolution conceptuelle à travers la vision quantique qui introduit un comportement probabiliste de la nature. Le caractère discret des spectres de raies d’émission des atomes s’explique de cette façon. </w:t>
            </w:r>
            <w:r>
              <w:rPr>
                <w:color w:val="FF0000"/>
                <w:sz w:val="22"/>
              </w:rPr>
              <w:t xml:space="preserve"> </w:t>
            </w:r>
          </w:p>
          <w:p w14:paraId="39E8D8C6" w14:textId="77777777" w:rsidR="006A383F" w:rsidRDefault="006A383F" w:rsidP="006A383F">
            <w:pPr>
              <w:spacing w:after="121" w:line="275" w:lineRule="auto"/>
              <w:ind w:right="47"/>
              <w:rPr>
                <w:sz w:val="22"/>
              </w:rPr>
            </w:pPr>
            <w:r>
              <w:rPr>
                <w:sz w:val="22"/>
              </w:rPr>
              <w:t xml:space="preserve">L’exploitation technologique des matériaux semiconducteurs, en particulier du silicium, en est également une conséquence. </w:t>
            </w:r>
          </w:p>
          <w:p w14:paraId="34D0E57E" w14:textId="77777777" w:rsidR="006A383F" w:rsidRDefault="006A383F" w:rsidP="006A383F">
            <w:pPr>
              <w:spacing w:after="121" w:line="275" w:lineRule="auto"/>
              <w:ind w:right="47"/>
            </w:pPr>
            <w:r>
              <w:rPr>
                <w:sz w:val="22"/>
              </w:rPr>
              <w:t>Ces matériaux sont utilisés en électronique et sont constitutifs des capteurs photovoltaïques. Ceux-ci absorbent l’énergie radiative et la convertissent en énergie électrique.</w:t>
            </w:r>
          </w:p>
          <w:p w14:paraId="66B8385B" w14:textId="2C910A18" w:rsidR="006A383F" w:rsidRDefault="006A383F" w:rsidP="006A383F"/>
        </w:tc>
        <w:tc>
          <w:tcPr>
            <w:tcW w:w="2987" w:type="dxa"/>
            <w:vAlign w:val="bottom"/>
          </w:tcPr>
          <w:p w14:paraId="372338FA" w14:textId="77777777" w:rsidR="006A383F" w:rsidRDefault="006A383F" w:rsidP="006A383F">
            <w:pPr>
              <w:spacing w:after="122" w:line="275" w:lineRule="auto"/>
              <w:ind w:left="1" w:right="50"/>
            </w:pPr>
            <w:r>
              <w:rPr>
                <w:sz w:val="22"/>
              </w:rPr>
              <w:lastRenderedPageBreak/>
              <w:t xml:space="preserve">Reconnaître les éléments principaux d’un alternateur (source de champ magnétique et fil conducteur mobile) dans un schéma fourni. </w:t>
            </w:r>
          </w:p>
          <w:p w14:paraId="5D4D96C0" w14:textId="77777777" w:rsidR="006A383F" w:rsidRDefault="006A383F" w:rsidP="006A383F">
            <w:pPr>
              <w:spacing w:after="122" w:line="274" w:lineRule="auto"/>
              <w:ind w:left="1"/>
            </w:pPr>
            <w:r>
              <w:rPr>
                <w:sz w:val="22"/>
              </w:rPr>
              <w:t xml:space="preserve">Analyser les propriétés d’un alternateur modèle étudié expérimentalement en classe.  </w:t>
            </w:r>
          </w:p>
          <w:p w14:paraId="049D2BFB" w14:textId="77777777" w:rsidR="006A383F" w:rsidRDefault="006A383F" w:rsidP="006A383F">
            <w:pPr>
              <w:spacing w:after="132" w:line="276" w:lineRule="auto"/>
              <w:ind w:left="1"/>
            </w:pPr>
            <w:r>
              <w:rPr>
                <w:sz w:val="22"/>
              </w:rPr>
              <w:t xml:space="preserve">Définir le rendement d’un </w:t>
            </w:r>
            <w:r>
              <w:rPr>
                <w:sz w:val="22"/>
              </w:rPr>
              <w:lastRenderedPageBreak/>
              <w:t xml:space="preserve">alternateur et citer un phénomène susceptible de l’influencer.  </w:t>
            </w:r>
          </w:p>
          <w:p w14:paraId="1CACE2B3" w14:textId="77777777" w:rsidR="006A383F" w:rsidRDefault="006A383F" w:rsidP="006A383F">
            <w:pPr>
              <w:spacing w:after="136" w:line="259" w:lineRule="auto"/>
              <w:ind w:left="1"/>
            </w:pPr>
            <w:r>
              <w:rPr>
                <w:sz w:val="22"/>
              </w:rPr>
              <w:t xml:space="preserve">Interpréter </w:t>
            </w:r>
            <w:r>
              <w:rPr>
                <w:sz w:val="22"/>
              </w:rPr>
              <w:tab/>
              <w:t xml:space="preserve">et </w:t>
            </w:r>
            <w:r>
              <w:rPr>
                <w:sz w:val="22"/>
              </w:rPr>
              <w:tab/>
              <w:t xml:space="preserve">exploiter </w:t>
            </w:r>
            <w:r>
              <w:rPr>
                <w:sz w:val="22"/>
              </w:rPr>
              <w:tab/>
              <w:t xml:space="preserve">un </w:t>
            </w:r>
            <w:r>
              <w:rPr>
                <w:sz w:val="22"/>
              </w:rPr>
              <w:tab/>
              <w:t xml:space="preserve">spectre </w:t>
            </w:r>
            <w:r>
              <w:rPr>
                <w:sz w:val="22"/>
              </w:rPr>
              <w:tab/>
              <w:t xml:space="preserve">d’émission atomique.  </w:t>
            </w:r>
          </w:p>
          <w:p w14:paraId="2F81AE71" w14:textId="77777777" w:rsidR="006A383F" w:rsidRDefault="006A383F" w:rsidP="006A383F">
            <w:pPr>
              <w:spacing w:after="241" w:line="275" w:lineRule="auto"/>
              <w:ind w:left="1" w:right="50"/>
            </w:pPr>
            <w:r>
              <w:rPr>
                <w:sz w:val="22"/>
              </w:rPr>
              <w:t xml:space="preserve">Comparer le spectre d’absorption d’un matériau semiconducteur et le spectre solaire pour décider si ce matériau est susceptible d’être utilisé pour fabriquer un capteur photovoltaïque.  </w:t>
            </w:r>
          </w:p>
          <w:p w14:paraId="4456F20B" w14:textId="1D0DEE7C" w:rsidR="006A383F" w:rsidRDefault="006A383F" w:rsidP="006A383F">
            <w:r>
              <w:rPr>
                <w:sz w:val="22"/>
              </w:rPr>
              <w:t xml:space="preserve">Tracer la caractéristique </w:t>
            </w:r>
            <w:r>
              <w:rPr>
                <w:i/>
                <w:sz w:val="22"/>
              </w:rPr>
              <w:t>i</w:t>
            </w:r>
            <w:r>
              <w:rPr>
                <w:sz w:val="22"/>
              </w:rPr>
              <w:t>(</w:t>
            </w:r>
            <w:r>
              <w:rPr>
                <w:i/>
                <w:sz w:val="22"/>
              </w:rPr>
              <w:t>u</w:t>
            </w:r>
            <w:r>
              <w:rPr>
                <w:sz w:val="22"/>
              </w:rPr>
              <w:t xml:space="preserve">) d’une cellule photovoltaïque et exploiter cette représentation pour déterminer la résistance d'utilisation maximisant la puissance électrique délivrée. </w:t>
            </w:r>
          </w:p>
        </w:tc>
        <w:tc>
          <w:tcPr>
            <w:tcW w:w="2830" w:type="dxa"/>
            <w:shd w:val="clear" w:color="auto" w:fill="BDD6EE" w:themeFill="accent5" w:themeFillTint="66"/>
          </w:tcPr>
          <w:p w14:paraId="4B449FF2" w14:textId="77777777" w:rsidR="006A383F" w:rsidRPr="003D5958" w:rsidRDefault="006A383F" w:rsidP="006A383F">
            <w:pPr>
              <w:rPr>
                <w:rFonts w:ascii="Cambria" w:hAnsi="Cambria"/>
                <w:b/>
                <w:sz w:val="22"/>
                <w:szCs w:val="22"/>
              </w:rPr>
            </w:pPr>
            <w:r w:rsidRPr="003D5958">
              <w:rPr>
                <w:rFonts w:ascii="Cambria" w:hAnsi="Cambria"/>
                <w:b/>
                <w:sz w:val="22"/>
                <w:szCs w:val="22"/>
              </w:rPr>
              <w:lastRenderedPageBreak/>
              <w:t>Physique-chimie :</w:t>
            </w:r>
          </w:p>
          <w:p w14:paraId="1708D3E9" w14:textId="77777777" w:rsidR="006A383F" w:rsidRPr="0054407F" w:rsidRDefault="006A383F" w:rsidP="006A383F">
            <w:pPr>
              <w:pStyle w:val="Default"/>
              <w:rPr>
                <w:bCs/>
              </w:rPr>
            </w:pPr>
            <w:r w:rsidRPr="0054407F">
              <w:rPr>
                <w:bCs/>
              </w:rPr>
              <w:t>Il est possible que les élèves aient été sensibilisés à différents modes de production de l’énergie électrique, notamment les centrales thermiques et nucléaires qui mettent en jeu un alternateur.</w:t>
            </w:r>
          </w:p>
          <w:p w14:paraId="12757439" w14:textId="77777777" w:rsidR="0054407F" w:rsidRDefault="0054407F" w:rsidP="006A383F">
            <w:pPr>
              <w:pStyle w:val="Default"/>
              <w:rPr>
                <w:b/>
                <w:bCs/>
              </w:rPr>
            </w:pPr>
          </w:p>
          <w:p w14:paraId="3EF8699A" w14:textId="77777777" w:rsidR="0054407F" w:rsidRPr="003D5958" w:rsidRDefault="0054407F" w:rsidP="0054407F">
            <w:pPr>
              <w:pStyle w:val="Default"/>
              <w:rPr>
                <w:rFonts w:ascii="Cambria" w:hAnsi="Cambria"/>
                <w:sz w:val="22"/>
                <w:szCs w:val="22"/>
              </w:rPr>
            </w:pPr>
            <w:r w:rsidRPr="0E3BE76E">
              <w:rPr>
                <w:rFonts w:ascii="Cambria" w:hAnsi="Cambria"/>
                <w:sz w:val="22"/>
                <w:szCs w:val="22"/>
              </w:rPr>
              <w:t>Lumière blanche, lumière colorée. Spectres d’émission : spectres continus d’origine thermique, spectres de raies.</w:t>
            </w:r>
          </w:p>
          <w:p w14:paraId="78A249F3" w14:textId="77777777" w:rsidR="0054407F" w:rsidRDefault="0054407F" w:rsidP="006A383F">
            <w:pPr>
              <w:pStyle w:val="Default"/>
              <w:rPr>
                <w:b/>
                <w:bCs/>
              </w:rPr>
            </w:pPr>
          </w:p>
          <w:p w14:paraId="39C60C8B" w14:textId="77777777" w:rsidR="0054407F" w:rsidRDefault="0054407F" w:rsidP="0054407F">
            <w:pPr>
              <w:pStyle w:val="Default"/>
              <w:rPr>
                <w:sz w:val="22"/>
                <w:szCs w:val="22"/>
              </w:rPr>
            </w:pPr>
            <w:r>
              <w:rPr>
                <w:sz w:val="22"/>
                <w:szCs w:val="22"/>
              </w:rPr>
              <w:t xml:space="preserve">Exploiter la caractéristique d’un dipôle électrique : point de fonctionnement, modélisation par une relation U = f(I) ou I = g(U). </w:t>
            </w:r>
          </w:p>
          <w:p w14:paraId="5E8A95EF" w14:textId="77777777" w:rsidR="0054407F" w:rsidRDefault="0054407F" w:rsidP="0054407F">
            <w:pPr>
              <w:pStyle w:val="Default"/>
              <w:rPr>
                <w:sz w:val="22"/>
                <w:szCs w:val="22"/>
              </w:rPr>
            </w:pPr>
            <w:r>
              <w:rPr>
                <w:sz w:val="22"/>
                <w:szCs w:val="22"/>
              </w:rPr>
              <w:t xml:space="preserve">Utiliser la loi d’Ohm. </w:t>
            </w:r>
          </w:p>
          <w:p w14:paraId="6C333B2B" w14:textId="77777777" w:rsidR="0054407F" w:rsidRDefault="0054407F" w:rsidP="0054407F">
            <w:pPr>
              <w:pStyle w:val="Default"/>
              <w:rPr>
                <w:sz w:val="22"/>
                <w:szCs w:val="22"/>
              </w:rPr>
            </w:pPr>
          </w:p>
          <w:p w14:paraId="6037F5F0" w14:textId="52328DCB" w:rsidR="0054407F" w:rsidRDefault="0054407F" w:rsidP="0054407F">
            <w:pPr>
              <w:pStyle w:val="Default"/>
              <w:rPr>
                <w:sz w:val="22"/>
                <w:szCs w:val="22"/>
              </w:rPr>
            </w:pPr>
            <w:r>
              <w:rPr>
                <w:sz w:val="22"/>
                <w:szCs w:val="22"/>
              </w:rPr>
              <w:t>Puissance électrique en courant continu</w:t>
            </w:r>
          </w:p>
          <w:p w14:paraId="75A0C9A0" w14:textId="40D8DF08" w:rsidR="0054407F" w:rsidRDefault="0054407F" w:rsidP="0054407F">
            <w:pPr>
              <w:pStyle w:val="Default"/>
              <w:rPr>
                <w:sz w:val="22"/>
                <w:szCs w:val="22"/>
              </w:rPr>
            </w:pPr>
            <w:r>
              <w:rPr>
                <w:sz w:val="22"/>
                <w:szCs w:val="22"/>
              </w:rPr>
              <w:t xml:space="preserve">P= U.I </w:t>
            </w:r>
          </w:p>
          <w:p w14:paraId="7AB191FC" w14:textId="77777777" w:rsidR="0054407F" w:rsidRDefault="0054407F" w:rsidP="0054407F">
            <w:pPr>
              <w:pStyle w:val="Default"/>
              <w:rPr>
                <w:sz w:val="22"/>
                <w:szCs w:val="22"/>
              </w:rPr>
            </w:pPr>
          </w:p>
          <w:p w14:paraId="3B23238D" w14:textId="77777777" w:rsidR="0054407F" w:rsidRDefault="0054407F" w:rsidP="0054407F">
            <w:pPr>
              <w:pStyle w:val="Default"/>
              <w:rPr>
                <w:sz w:val="22"/>
                <w:szCs w:val="22"/>
              </w:rPr>
            </w:pPr>
            <w:r>
              <w:rPr>
                <w:sz w:val="22"/>
                <w:szCs w:val="22"/>
              </w:rPr>
              <w:t>Relation Energie, puissance et durée :</w:t>
            </w:r>
          </w:p>
          <w:p w14:paraId="56907AEB" w14:textId="66C68BFF" w:rsidR="0054407F" w:rsidRPr="00850F0D" w:rsidRDefault="0054407F" w:rsidP="0054407F">
            <w:pPr>
              <w:pStyle w:val="Default"/>
              <w:rPr>
                <w:b/>
                <w:bCs/>
              </w:rPr>
            </w:pPr>
            <w:r>
              <w:rPr>
                <w:sz w:val="22"/>
                <w:szCs w:val="22"/>
              </w:rPr>
              <w:t xml:space="preserve"> </w:t>
            </w:r>
            <w:r w:rsidR="00AB49EC">
              <w:rPr>
                <w:sz w:val="22"/>
                <w:szCs w:val="22"/>
              </w:rPr>
              <w:t>Δ</w:t>
            </w:r>
            <w:r>
              <w:rPr>
                <w:sz w:val="22"/>
                <w:szCs w:val="22"/>
              </w:rPr>
              <w:t xml:space="preserve">E= P </w:t>
            </w:r>
            <w:r w:rsidR="00AB49EC">
              <w:rPr>
                <w:sz w:val="22"/>
                <w:szCs w:val="22"/>
              </w:rPr>
              <w:t>Δ</w:t>
            </w:r>
            <w:r>
              <w:rPr>
                <w:sz w:val="22"/>
                <w:szCs w:val="22"/>
              </w:rPr>
              <w:t>t</w:t>
            </w:r>
          </w:p>
        </w:tc>
        <w:tc>
          <w:tcPr>
            <w:tcW w:w="2405" w:type="dxa"/>
          </w:tcPr>
          <w:p w14:paraId="7E61E400" w14:textId="77777777" w:rsidR="006A383F" w:rsidRDefault="004F6E65" w:rsidP="006A383F">
            <w:r>
              <w:lastRenderedPageBreak/>
              <w:t xml:space="preserve">Il s’agit de mettre en évidence que le mouvement d’un conducteur électrique dans un champ magnétique permet dans certaines conditions la création d’un courant électrique, la loi de </w:t>
            </w:r>
            <w:r>
              <w:lastRenderedPageBreak/>
              <w:t>Faraday n’étant pas exigible.</w:t>
            </w:r>
          </w:p>
          <w:p w14:paraId="7AFA69AB" w14:textId="77777777" w:rsidR="0088492A" w:rsidRDefault="0088492A" w:rsidP="006A383F"/>
          <w:p w14:paraId="7FC86AED" w14:textId="02871508" w:rsidR="0088492A" w:rsidRDefault="0088492A" w:rsidP="0088492A">
            <w:r>
              <w:t xml:space="preserve">La notion de rendement est une notion nouvelle qui permet d’illustrer l’efficacité d’un convertisseur d’énergie. </w:t>
            </w:r>
          </w:p>
        </w:tc>
        <w:tc>
          <w:tcPr>
            <w:tcW w:w="2977" w:type="dxa"/>
          </w:tcPr>
          <w:p w14:paraId="62AFF0F0" w14:textId="77777777" w:rsidR="006A383F" w:rsidRDefault="004F6E65" w:rsidP="006A383F">
            <w:pPr>
              <w:rPr>
                <w:rFonts w:ascii="Cambria" w:hAnsi="Cambria"/>
                <w:sz w:val="22"/>
                <w:szCs w:val="22"/>
              </w:rPr>
            </w:pPr>
            <w:r>
              <w:rPr>
                <w:rFonts w:ascii="Cambria" w:hAnsi="Cambria"/>
                <w:sz w:val="22"/>
                <w:szCs w:val="22"/>
              </w:rPr>
              <w:lastRenderedPageBreak/>
              <w:t>En physique chimie, la notion de champ est vue en spécialité de première, elle est poursuivie en terminale. En revanche elle ne met en jeu que le champ électrique et pas le champ magnétique.</w:t>
            </w:r>
          </w:p>
          <w:p w14:paraId="2E22B8B0" w14:textId="77777777" w:rsidR="0054407F" w:rsidRDefault="0054407F" w:rsidP="006A383F">
            <w:pPr>
              <w:rPr>
                <w:rFonts w:ascii="Cambria" w:hAnsi="Cambria"/>
                <w:sz w:val="22"/>
                <w:szCs w:val="22"/>
              </w:rPr>
            </w:pPr>
          </w:p>
          <w:p w14:paraId="6AD752F7" w14:textId="77777777" w:rsidR="0088492A" w:rsidRDefault="0088492A" w:rsidP="006A383F">
            <w:pPr>
              <w:rPr>
                <w:rFonts w:ascii="Cambria" w:hAnsi="Cambria"/>
                <w:sz w:val="22"/>
                <w:szCs w:val="22"/>
              </w:rPr>
            </w:pPr>
            <w:r>
              <w:rPr>
                <w:rFonts w:ascii="Cambria" w:hAnsi="Cambria"/>
                <w:sz w:val="22"/>
                <w:szCs w:val="22"/>
              </w:rPr>
              <w:t xml:space="preserve">On aborde également l’effet joule et la notion de rendement d’un </w:t>
            </w:r>
            <w:r>
              <w:rPr>
                <w:rFonts w:ascii="Cambria" w:hAnsi="Cambria"/>
                <w:sz w:val="22"/>
                <w:szCs w:val="22"/>
              </w:rPr>
              <w:lastRenderedPageBreak/>
              <w:t>convertisseur</w:t>
            </w:r>
          </w:p>
          <w:p w14:paraId="705327FC" w14:textId="77777777" w:rsidR="0088492A" w:rsidRDefault="0088492A" w:rsidP="006A383F">
            <w:pPr>
              <w:rPr>
                <w:rFonts w:ascii="Cambria" w:hAnsi="Cambria"/>
                <w:sz w:val="22"/>
                <w:szCs w:val="22"/>
              </w:rPr>
            </w:pPr>
          </w:p>
          <w:p w14:paraId="6EEB2039" w14:textId="77777777" w:rsidR="0088492A" w:rsidRDefault="0088492A" w:rsidP="0088492A">
            <w:pPr>
              <w:rPr>
                <w:rFonts w:ascii="Cambria" w:hAnsi="Cambria"/>
                <w:sz w:val="22"/>
                <w:szCs w:val="22"/>
              </w:rPr>
            </w:pPr>
            <w:r>
              <w:rPr>
                <w:rFonts w:ascii="Cambria" w:hAnsi="Cambria"/>
                <w:sz w:val="22"/>
                <w:szCs w:val="22"/>
              </w:rPr>
              <w:t>En physique chimie, en spécialité de terminale, on aborde à partir du mois de mars-avril la modélisation de la lumière comme un flux de photons et l’on interprète l’effet photoélectrique sur le plan qualitatifs et quantitatif (notion de travail d’extraction, relation entre énergie cinétique des électrons et fréquence du rayonnement…).</w:t>
            </w:r>
          </w:p>
          <w:p w14:paraId="46BAF2F8" w14:textId="66E4B470" w:rsidR="0088492A" w:rsidRPr="00675A6E" w:rsidRDefault="0088492A" w:rsidP="0088492A">
            <w:pPr>
              <w:rPr>
                <w:rFonts w:ascii="Cambria" w:hAnsi="Cambria"/>
                <w:sz w:val="22"/>
                <w:szCs w:val="22"/>
              </w:rPr>
            </w:pPr>
          </w:p>
        </w:tc>
      </w:tr>
      <w:tr w:rsidR="006A383F" w14:paraId="6CCB46CF" w14:textId="77777777" w:rsidTr="681B9274">
        <w:tc>
          <w:tcPr>
            <w:tcW w:w="14601" w:type="dxa"/>
            <w:gridSpan w:val="5"/>
          </w:tcPr>
          <w:p w14:paraId="4A38B9A6" w14:textId="3DFD2193" w:rsidR="006A383F" w:rsidRDefault="006A383F" w:rsidP="006A383F">
            <w:pPr>
              <w:spacing w:after="118" w:line="259" w:lineRule="auto"/>
            </w:pPr>
            <w:r>
              <w:rPr>
                <w:b/>
                <w:color w:val="007F9F"/>
              </w:rPr>
              <w:lastRenderedPageBreak/>
              <w:t xml:space="preserve">Prérequis et limites </w:t>
            </w:r>
          </w:p>
          <w:p w14:paraId="76DBE41E" w14:textId="7D36E506" w:rsidR="006A383F" w:rsidRPr="00B6224E" w:rsidRDefault="006A383F" w:rsidP="006A383F">
            <w:pPr>
              <w:rPr>
                <w:rFonts w:ascii="Arial" w:hAnsi="Arial" w:cs="Arial"/>
                <w:sz w:val="22"/>
                <w:szCs w:val="22"/>
              </w:rPr>
            </w:pPr>
            <w:r>
              <w:rPr>
                <w:sz w:val="22"/>
              </w:rPr>
              <w:t xml:space="preserve">Les spectres de raies d’émission atomiques ainsi que les notions de caractéristique </w:t>
            </w:r>
            <w:r>
              <w:rPr>
                <w:i/>
                <w:sz w:val="22"/>
              </w:rPr>
              <w:t>i</w:t>
            </w:r>
            <w:r>
              <w:rPr>
                <w:sz w:val="22"/>
              </w:rPr>
              <w:t>(</w:t>
            </w:r>
            <w:r>
              <w:rPr>
                <w:i/>
                <w:sz w:val="22"/>
              </w:rPr>
              <w:t>u</w:t>
            </w:r>
            <w:r>
              <w:rPr>
                <w:sz w:val="22"/>
              </w:rPr>
              <w:t>) et de point de fonctionnement d’un dipôle électrique , déjà connues, sont utilisés. La loi de Faraday est hors programme.</w:t>
            </w:r>
          </w:p>
        </w:tc>
      </w:tr>
      <w:tr w:rsidR="006A383F" w14:paraId="46DF237F" w14:textId="77777777" w:rsidTr="681B9274">
        <w:tc>
          <w:tcPr>
            <w:tcW w:w="14601" w:type="dxa"/>
            <w:gridSpan w:val="5"/>
          </w:tcPr>
          <w:p w14:paraId="4E406D3C" w14:textId="77777777" w:rsidR="00A41FDF" w:rsidRDefault="00A41FDF" w:rsidP="00A41FDF">
            <w:pPr>
              <w:spacing w:after="75" w:line="259" w:lineRule="auto"/>
            </w:pPr>
            <w:bookmarkStart w:id="4" w:name="_Hlk6934072"/>
            <w:r>
              <w:rPr>
                <w:b/>
                <w:color w:val="007F9F"/>
              </w:rPr>
              <w:t xml:space="preserve">2.2 Les atouts de l’électricité </w:t>
            </w:r>
          </w:p>
          <w:p w14:paraId="18AB7E80" w14:textId="77777777" w:rsidR="00A41FDF" w:rsidRDefault="00A41FDF" w:rsidP="00A41FDF">
            <w:pPr>
              <w:spacing w:line="259" w:lineRule="auto"/>
              <w:ind w:right="48"/>
              <w:rPr>
                <w:i/>
                <w:color w:val="0000FF"/>
                <w:sz w:val="22"/>
              </w:rPr>
            </w:pPr>
            <w:r>
              <w:rPr>
                <w:i/>
                <w:sz w:val="22"/>
              </w:rPr>
              <w:t>L’énergie électrique présente de nombreux avantages : une distribution aisée, sûre et à faible impact écologique ; l’existence de réseaux de distribution très étendus ; la disponibilité de convertisseurs de bon rendement permettant de transformer l’énergie électrique en d’autres formes d’énergie ou, symétriquement, d’obtenir de l’énergie électrique. L’existence de procédés d’obtention d’énergie électrique sans combustion justifie le rôle central que cette forme d’énergie est amenée à jouer à l’avenir.</w:t>
            </w:r>
            <w:r>
              <w:rPr>
                <w:i/>
                <w:color w:val="0000FF"/>
                <w:sz w:val="22"/>
              </w:rPr>
              <w:t xml:space="preserve"> </w:t>
            </w:r>
          </w:p>
          <w:p w14:paraId="04302A9B" w14:textId="2114F7D4" w:rsidR="006A383F" w:rsidRDefault="006A383F" w:rsidP="006A383F">
            <w:pPr>
              <w:spacing w:before="72"/>
              <w:ind w:left="34"/>
            </w:pPr>
          </w:p>
        </w:tc>
      </w:tr>
      <w:tr w:rsidR="006A383F" w14:paraId="52BE72C6" w14:textId="77777777" w:rsidTr="681B9274">
        <w:tc>
          <w:tcPr>
            <w:tcW w:w="3402" w:type="dxa"/>
            <w:vAlign w:val="center"/>
          </w:tcPr>
          <w:p w14:paraId="17E039C0" w14:textId="04D840BD" w:rsidR="006A383F" w:rsidRDefault="006A383F" w:rsidP="006A383F">
            <w:r>
              <w:rPr>
                <w:rFonts w:ascii="Arial" w:hAnsi="Arial" w:cs="Arial"/>
                <w:b/>
                <w:bCs/>
                <w:sz w:val="22"/>
                <w:szCs w:val="22"/>
              </w:rPr>
              <w:lastRenderedPageBreak/>
              <w:t>Savoirs</w:t>
            </w:r>
          </w:p>
        </w:tc>
        <w:tc>
          <w:tcPr>
            <w:tcW w:w="2987" w:type="dxa"/>
            <w:vAlign w:val="center"/>
          </w:tcPr>
          <w:p w14:paraId="10143007" w14:textId="46462E9C" w:rsidR="006A383F" w:rsidRDefault="006A383F" w:rsidP="006A383F">
            <w:r>
              <w:rPr>
                <w:rFonts w:ascii="Arial" w:hAnsi="Arial" w:cs="Arial"/>
                <w:b/>
                <w:bCs/>
                <w:sz w:val="22"/>
                <w:szCs w:val="22"/>
              </w:rPr>
              <w:t>Savoir-faire</w:t>
            </w:r>
          </w:p>
        </w:tc>
        <w:tc>
          <w:tcPr>
            <w:tcW w:w="2830" w:type="dxa"/>
            <w:shd w:val="clear" w:color="auto" w:fill="BDD6EE" w:themeFill="accent5" w:themeFillTint="66"/>
          </w:tcPr>
          <w:p w14:paraId="718335A3" w14:textId="26492B06" w:rsidR="006A383F" w:rsidRDefault="006A383F" w:rsidP="006A383F">
            <w:r>
              <w:rPr>
                <w:rFonts w:asciiTheme="minorHAnsi" w:hAnsiTheme="minorHAnsi" w:cstheme="minorHAnsi"/>
                <w:b/>
              </w:rPr>
              <w:t>Capacités exigibles de remobilisables</w:t>
            </w:r>
          </w:p>
        </w:tc>
        <w:tc>
          <w:tcPr>
            <w:tcW w:w="2405" w:type="dxa"/>
          </w:tcPr>
          <w:p w14:paraId="51AD97CA" w14:textId="1F7C79FF" w:rsidR="006A383F" w:rsidRDefault="006A383F" w:rsidP="006A383F">
            <w:r w:rsidRPr="000C5D32">
              <w:rPr>
                <w:rFonts w:asciiTheme="minorHAnsi" w:hAnsiTheme="minorHAnsi" w:cstheme="minorHAnsi"/>
                <w:b/>
              </w:rPr>
              <w:t>S</w:t>
            </w:r>
            <w:r>
              <w:rPr>
                <w:rFonts w:asciiTheme="minorHAnsi" w:hAnsiTheme="minorHAnsi" w:cstheme="minorHAnsi"/>
                <w:b/>
              </w:rPr>
              <w:t>aut conceptuel en terminale</w:t>
            </w:r>
          </w:p>
        </w:tc>
        <w:tc>
          <w:tcPr>
            <w:tcW w:w="2977" w:type="dxa"/>
          </w:tcPr>
          <w:p w14:paraId="0BA4F7AE" w14:textId="712B23E5" w:rsidR="006A383F" w:rsidRDefault="006A383F" w:rsidP="006A383F">
            <w:r w:rsidRPr="007F4857">
              <w:rPr>
                <w:rFonts w:asciiTheme="minorHAnsi" w:hAnsiTheme="minorHAnsi" w:cstheme="minorHAnsi"/>
                <w:b/>
              </w:rPr>
              <w:t>Liens avec les programmes de spécialité</w:t>
            </w:r>
          </w:p>
        </w:tc>
      </w:tr>
      <w:bookmarkEnd w:id="4"/>
      <w:tr w:rsidR="00A41FDF" w14:paraId="2D583AAE" w14:textId="77777777" w:rsidTr="681B9274">
        <w:tc>
          <w:tcPr>
            <w:tcW w:w="3402" w:type="dxa"/>
            <w:vAlign w:val="bottom"/>
          </w:tcPr>
          <w:p w14:paraId="5BEF9CB6" w14:textId="77777777" w:rsidR="00A41FDF" w:rsidRDefault="00A41FDF" w:rsidP="00A41FDF">
            <w:pPr>
              <w:spacing w:after="82" w:line="276" w:lineRule="auto"/>
            </w:pPr>
            <w:r>
              <w:rPr>
                <w:sz w:val="22"/>
              </w:rPr>
              <w:t xml:space="preserve">Trois méthodes permettent d’obtenir de l’énergie électrique sans nécessiter de combustion :  </w:t>
            </w:r>
          </w:p>
          <w:p w14:paraId="125BDED7" w14:textId="77777777" w:rsidR="00A41FDF" w:rsidRDefault="00A41FDF" w:rsidP="00A41FDF">
            <w:pPr>
              <w:widowControl/>
              <w:numPr>
                <w:ilvl w:val="0"/>
                <w:numId w:val="13"/>
              </w:numPr>
              <w:kinsoku/>
              <w:spacing w:after="80" w:line="275" w:lineRule="auto"/>
              <w:ind w:right="49" w:hanging="360"/>
              <w:jc w:val="both"/>
            </w:pPr>
            <w:r>
              <w:rPr>
                <w:sz w:val="22"/>
              </w:rPr>
              <w:t xml:space="preserve">la conversion d’énergie mécanique, soit directe (dynamos, éoliennes, hydroliennes, barrages hydroélectriques), soit indirecte à partir d’énergie thermique (centrales nucléaires, centrales solaires thermiques, géothermie) ;   </w:t>
            </w:r>
          </w:p>
          <w:p w14:paraId="6980A715" w14:textId="77777777" w:rsidR="00A41FDF" w:rsidRDefault="00A41FDF" w:rsidP="00A41FDF">
            <w:pPr>
              <w:widowControl/>
              <w:numPr>
                <w:ilvl w:val="0"/>
                <w:numId w:val="13"/>
              </w:numPr>
              <w:kinsoku/>
              <w:spacing w:after="82" w:line="276" w:lineRule="auto"/>
              <w:ind w:right="49" w:hanging="360"/>
              <w:jc w:val="both"/>
            </w:pPr>
            <w:r>
              <w:rPr>
                <w:sz w:val="22"/>
              </w:rPr>
              <w:t xml:space="preserve">la conversion de l’énergie radiative reçue du Soleil (panneaux photovoltaïques) ;  </w:t>
            </w:r>
          </w:p>
          <w:p w14:paraId="0796CDB0" w14:textId="77777777" w:rsidR="00A41FDF" w:rsidRDefault="00A41FDF" w:rsidP="00A41FDF">
            <w:pPr>
              <w:widowControl/>
              <w:numPr>
                <w:ilvl w:val="0"/>
                <w:numId w:val="13"/>
              </w:numPr>
              <w:kinsoku/>
              <w:spacing w:after="117" w:line="276" w:lineRule="auto"/>
              <w:ind w:right="49" w:hanging="360"/>
              <w:jc w:val="both"/>
            </w:pPr>
            <w:r>
              <w:rPr>
                <w:sz w:val="22"/>
              </w:rPr>
              <w:t xml:space="preserve">la conversion électrochimique (piles ou accumulateurs conventionnels, piles à hydrogène). </w:t>
            </w:r>
          </w:p>
          <w:p w14:paraId="3F5D927C" w14:textId="77777777" w:rsidR="00A41FDF" w:rsidRDefault="00A41FDF" w:rsidP="00A41FDF">
            <w:pPr>
              <w:spacing w:after="120" w:line="275" w:lineRule="auto"/>
              <w:ind w:left="360" w:right="48"/>
            </w:pPr>
            <w:r>
              <w:rPr>
                <w:sz w:val="22"/>
              </w:rPr>
              <w:t xml:space="preserve">Ces méthodes sans combustion ont néanmoins un impact sur l’environnement et la biodiversité ou présentent des risques spécifiques (pollution </w:t>
            </w:r>
            <w:r>
              <w:rPr>
                <w:sz w:val="22"/>
              </w:rPr>
              <w:lastRenderedPageBreak/>
              <w:t xml:space="preserve">chimique, déchets radioactifs, accidents industriels, …).  </w:t>
            </w:r>
          </w:p>
          <w:p w14:paraId="03C965B5" w14:textId="77777777" w:rsidR="00A41FDF" w:rsidRDefault="00A41FDF" w:rsidP="00A41FDF">
            <w:pPr>
              <w:spacing w:after="98" w:line="259" w:lineRule="auto"/>
            </w:pPr>
            <w:r>
              <w:rPr>
                <w:sz w:val="22"/>
              </w:rPr>
              <w:t xml:space="preserve">Pour faire face à l’intermittence liée à certains modes de production ou à la consommation, l’énergie électrique doit être convertie sous une forme stockable : </w:t>
            </w:r>
          </w:p>
          <w:p w14:paraId="604F8F3E" w14:textId="77777777" w:rsidR="00A41FDF" w:rsidRDefault="00A41FDF" w:rsidP="00A41FDF">
            <w:pPr>
              <w:widowControl/>
              <w:numPr>
                <w:ilvl w:val="0"/>
                <w:numId w:val="14"/>
              </w:numPr>
              <w:kinsoku/>
              <w:spacing w:after="47" w:line="259" w:lineRule="auto"/>
              <w:ind w:hanging="360"/>
            </w:pPr>
            <w:r>
              <w:rPr>
                <w:sz w:val="22"/>
              </w:rPr>
              <w:t xml:space="preserve">énergie chimique (accumulateurs) ; </w:t>
            </w:r>
          </w:p>
          <w:p w14:paraId="67372A18" w14:textId="77777777" w:rsidR="00A41FDF" w:rsidRDefault="00A41FDF" w:rsidP="00A41FDF">
            <w:pPr>
              <w:widowControl/>
              <w:numPr>
                <w:ilvl w:val="0"/>
                <w:numId w:val="14"/>
              </w:numPr>
              <w:kinsoku/>
              <w:spacing w:after="48" w:line="259" w:lineRule="auto"/>
              <w:ind w:hanging="360"/>
            </w:pPr>
            <w:r>
              <w:rPr>
                <w:sz w:val="22"/>
              </w:rPr>
              <w:t xml:space="preserve">énergie potentielle (barrages) ; </w:t>
            </w:r>
          </w:p>
          <w:p w14:paraId="3A0C1886" w14:textId="4A56BC20" w:rsidR="00A41FDF" w:rsidRPr="00981ECE" w:rsidRDefault="00A41FDF" w:rsidP="00A41FDF">
            <w:pPr>
              <w:pStyle w:val="Default"/>
            </w:pPr>
            <w:r w:rsidRPr="00F94588">
              <w:rPr>
                <w:sz w:val="22"/>
              </w:rPr>
              <w:t>énergie électromagnétique (super-capacités).</w:t>
            </w:r>
          </w:p>
        </w:tc>
        <w:tc>
          <w:tcPr>
            <w:tcW w:w="2987" w:type="dxa"/>
            <w:vAlign w:val="center"/>
          </w:tcPr>
          <w:p w14:paraId="7C7BF68E" w14:textId="77777777" w:rsidR="00A41FDF" w:rsidRDefault="00A41FDF" w:rsidP="00A41FDF">
            <w:pPr>
              <w:spacing w:after="121" w:line="275" w:lineRule="auto"/>
              <w:ind w:left="1" w:right="51"/>
            </w:pPr>
            <w:r>
              <w:rPr>
                <w:sz w:val="22"/>
              </w:rPr>
              <w:lastRenderedPageBreak/>
              <w:t xml:space="preserve">Décrire des exemples de chaînes de transformations énergétiques permettant d’obtenir de l’énergie électrique à partir de différentes ressources primaires d’énergie.  </w:t>
            </w:r>
          </w:p>
          <w:p w14:paraId="3AAEAB1C" w14:textId="77777777" w:rsidR="00A41FDF" w:rsidRDefault="00A41FDF" w:rsidP="00A41FDF">
            <w:pPr>
              <w:spacing w:after="139" w:line="259" w:lineRule="auto"/>
              <w:ind w:left="1"/>
            </w:pPr>
            <w:r>
              <w:rPr>
                <w:sz w:val="22"/>
              </w:rPr>
              <w:t xml:space="preserve"> </w:t>
            </w:r>
          </w:p>
          <w:p w14:paraId="59E71F05" w14:textId="77777777" w:rsidR="00A41FDF" w:rsidRDefault="00A41FDF" w:rsidP="00A41FDF">
            <w:pPr>
              <w:spacing w:after="136" w:line="259" w:lineRule="auto"/>
              <w:ind w:left="1"/>
            </w:pPr>
            <w:r>
              <w:rPr>
                <w:sz w:val="22"/>
              </w:rPr>
              <w:t xml:space="preserve"> </w:t>
            </w:r>
          </w:p>
          <w:p w14:paraId="129DF875" w14:textId="77777777" w:rsidR="00A41FDF" w:rsidRDefault="00A41FDF" w:rsidP="00A41FDF">
            <w:pPr>
              <w:spacing w:line="276" w:lineRule="auto"/>
              <w:ind w:left="1"/>
            </w:pPr>
            <w:r>
              <w:rPr>
                <w:sz w:val="22"/>
              </w:rPr>
              <w:t xml:space="preserve">Calculer le rendement global d’un système de conversion d’énergie.  </w:t>
            </w:r>
          </w:p>
          <w:p w14:paraId="51515AB9" w14:textId="77777777" w:rsidR="00A41FDF" w:rsidRDefault="00A41FDF" w:rsidP="00A41FDF">
            <w:pPr>
              <w:spacing w:after="16" w:line="259" w:lineRule="auto"/>
              <w:ind w:left="1"/>
            </w:pPr>
            <w:r>
              <w:rPr>
                <w:sz w:val="22"/>
              </w:rPr>
              <w:t xml:space="preserve"> </w:t>
            </w:r>
          </w:p>
          <w:p w14:paraId="39124A38" w14:textId="77777777" w:rsidR="00A41FDF" w:rsidRDefault="00A41FDF" w:rsidP="00A41FDF">
            <w:pPr>
              <w:spacing w:after="19" w:line="259" w:lineRule="auto"/>
              <w:ind w:left="1"/>
            </w:pPr>
            <w:r>
              <w:rPr>
                <w:sz w:val="22"/>
              </w:rPr>
              <w:t xml:space="preserve"> </w:t>
            </w:r>
          </w:p>
          <w:p w14:paraId="0DB6061C" w14:textId="77777777" w:rsidR="00A41FDF" w:rsidRDefault="00A41FDF" w:rsidP="00A41FDF">
            <w:pPr>
              <w:spacing w:after="19" w:line="259" w:lineRule="auto"/>
              <w:ind w:left="1"/>
            </w:pPr>
            <w:r>
              <w:rPr>
                <w:sz w:val="22"/>
              </w:rPr>
              <w:t xml:space="preserve"> </w:t>
            </w:r>
          </w:p>
          <w:p w14:paraId="1B1529C1" w14:textId="77777777" w:rsidR="00A41FDF" w:rsidRDefault="00A41FDF" w:rsidP="00A41FDF">
            <w:pPr>
              <w:spacing w:after="19" w:line="259" w:lineRule="auto"/>
              <w:ind w:left="1"/>
            </w:pPr>
            <w:r>
              <w:rPr>
                <w:sz w:val="22"/>
              </w:rPr>
              <w:t xml:space="preserve"> </w:t>
            </w:r>
          </w:p>
          <w:p w14:paraId="15EF92D4" w14:textId="77777777" w:rsidR="00A41FDF" w:rsidRDefault="00A41FDF" w:rsidP="00A41FDF">
            <w:pPr>
              <w:spacing w:after="1" w:line="275" w:lineRule="auto"/>
              <w:ind w:left="1" w:right="49"/>
            </w:pPr>
            <w:r>
              <w:rPr>
                <w:sz w:val="22"/>
              </w:rPr>
              <w:t xml:space="preserve">Analyser des documents présentant les conséquences de l’utilisation de ressources géologiques (métaux rares, etc.). </w:t>
            </w:r>
          </w:p>
          <w:p w14:paraId="22E08DF5" w14:textId="77777777" w:rsidR="00A41FDF" w:rsidRDefault="00A41FDF" w:rsidP="00A41FDF">
            <w:pPr>
              <w:spacing w:after="136" w:line="259" w:lineRule="auto"/>
              <w:ind w:left="1"/>
            </w:pPr>
            <w:r>
              <w:rPr>
                <w:sz w:val="22"/>
              </w:rPr>
              <w:t xml:space="preserve"> </w:t>
            </w:r>
          </w:p>
          <w:p w14:paraId="7D15B128" w14:textId="1BB2B9A9" w:rsidR="00A41FDF" w:rsidRPr="00981ECE" w:rsidRDefault="00A41FDF" w:rsidP="00A41FDF">
            <w:pPr>
              <w:rPr>
                <w:rFonts w:ascii="Arial" w:hAnsi="Arial" w:cs="Arial"/>
              </w:rPr>
            </w:pPr>
            <w:r>
              <w:rPr>
                <w:sz w:val="22"/>
              </w:rPr>
              <w:t xml:space="preserve">Comparer différents dispositifs de stockage d’énergie selon différents critères (masses mises en jeu, capacité et durée de stockage, impact </w:t>
            </w:r>
            <w:r>
              <w:rPr>
                <w:sz w:val="22"/>
              </w:rPr>
              <w:lastRenderedPageBreak/>
              <w:t xml:space="preserve">écologique). </w:t>
            </w:r>
          </w:p>
        </w:tc>
        <w:tc>
          <w:tcPr>
            <w:tcW w:w="2830" w:type="dxa"/>
            <w:shd w:val="clear" w:color="auto" w:fill="BDD6EE" w:themeFill="accent5" w:themeFillTint="66"/>
          </w:tcPr>
          <w:p w14:paraId="5DB9EDD2" w14:textId="77777777" w:rsidR="00A41FDF" w:rsidRPr="00E76BBB" w:rsidRDefault="00A41FDF" w:rsidP="00A41FDF">
            <w:pPr>
              <w:rPr>
                <w:b/>
              </w:rPr>
            </w:pPr>
            <w:r w:rsidRPr="00E76BBB">
              <w:rPr>
                <w:b/>
              </w:rPr>
              <w:lastRenderedPageBreak/>
              <w:t>Physique-chimie</w:t>
            </w:r>
          </w:p>
          <w:p w14:paraId="3E70A9F6" w14:textId="77777777" w:rsidR="00A41FDF" w:rsidRDefault="00A41FDF" w:rsidP="00A41FDF"/>
          <w:p w14:paraId="53F57149" w14:textId="77777777" w:rsidR="00A41FDF" w:rsidRDefault="00A41FDF" w:rsidP="00A41FDF">
            <w:pPr>
              <w:rPr>
                <w:sz w:val="22"/>
                <w:szCs w:val="22"/>
              </w:rPr>
            </w:pPr>
            <w:r>
              <w:rPr>
                <w:sz w:val="22"/>
                <w:szCs w:val="22"/>
              </w:rPr>
              <w:t xml:space="preserve">Identifier les sources, les transferts et les conversions d’énergie. </w:t>
            </w:r>
          </w:p>
          <w:p w14:paraId="6A1173C3" w14:textId="77777777" w:rsidR="00A41FDF" w:rsidRDefault="00A41FDF" w:rsidP="00A41FDF">
            <w:pPr>
              <w:rPr>
                <w:sz w:val="22"/>
                <w:szCs w:val="22"/>
              </w:rPr>
            </w:pPr>
          </w:p>
          <w:p w14:paraId="03F632D3" w14:textId="0A07D8B6" w:rsidR="00A41FDF" w:rsidRDefault="00A41FDF" w:rsidP="00A41FDF">
            <w:pPr>
              <w:rPr>
                <w:sz w:val="22"/>
                <w:szCs w:val="22"/>
              </w:rPr>
            </w:pPr>
            <w:r>
              <w:rPr>
                <w:sz w:val="22"/>
                <w:szCs w:val="22"/>
              </w:rPr>
              <w:t xml:space="preserve">Établir un bilan énergétique pour un système simple. </w:t>
            </w:r>
          </w:p>
          <w:p w14:paraId="3E1B524E" w14:textId="77777777" w:rsidR="00A41FDF" w:rsidRDefault="00A41FDF" w:rsidP="00A41FDF">
            <w:pPr>
              <w:rPr>
                <w:sz w:val="22"/>
                <w:szCs w:val="22"/>
              </w:rPr>
            </w:pPr>
            <w:r>
              <w:rPr>
                <w:sz w:val="22"/>
                <w:szCs w:val="22"/>
              </w:rPr>
              <w:t xml:space="preserve">» Sources. </w:t>
            </w:r>
          </w:p>
          <w:p w14:paraId="322F8E46" w14:textId="77777777" w:rsidR="00A41FDF" w:rsidRDefault="00A41FDF" w:rsidP="00A41FDF">
            <w:pPr>
              <w:rPr>
                <w:sz w:val="22"/>
                <w:szCs w:val="22"/>
              </w:rPr>
            </w:pPr>
            <w:r>
              <w:rPr>
                <w:sz w:val="22"/>
                <w:szCs w:val="22"/>
              </w:rPr>
              <w:t>» Transferts.</w:t>
            </w:r>
          </w:p>
          <w:p w14:paraId="5D7A6F51" w14:textId="77777777" w:rsidR="00A41FDF" w:rsidRDefault="00A41FDF" w:rsidP="00A41FDF">
            <w:pPr>
              <w:rPr>
                <w:sz w:val="22"/>
                <w:szCs w:val="22"/>
              </w:rPr>
            </w:pPr>
            <w:r>
              <w:rPr>
                <w:sz w:val="22"/>
                <w:szCs w:val="22"/>
              </w:rPr>
              <w:t xml:space="preserve"> » Conversion d’un type d’énergie en un autre</w:t>
            </w:r>
          </w:p>
          <w:p w14:paraId="443A3BA0" w14:textId="3D0D5A88" w:rsidR="00A41FDF" w:rsidRDefault="00A41FDF" w:rsidP="00A41FDF">
            <w:r>
              <w:rPr>
                <w:sz w:val="22"/>
                <w:szCs w:val="22"/>
              </w:rPr>
              <w:t xml:space="preserve"> » Conservation de l’énergie. </w:t>
            </w:r>
          </w:p>
        </w:tc>
        <w:tc>
          <w:tcPr>
            <w:tcW w:w="2405" w:type="dxa"/>
          </w:tcPr>
          <w:p w14:paraId="090E38C7" w14:textId="29FFAB39" w:rsidR="00A41FDF" w:rsidRDefault="00A41FDF" w:rsidP="00A41FDF">
            <w:r>
              <w:t>La notion de rendement est une notion nouvelle qui permet d’illustrer l’efficacité d’un convertisseur d’énergie.</w:t>
            </w:r>
          </w:p>
        </w:tc>
        <w:tc>
          <w:tcPr>
            <w:tcW w:w="2977" w:type="dxa"/>
          </w:tcPr>
          <w:p w14:paraId="0226F0EF" w14:textId="37EF2319" w:rsidR="00A41FDF" w:rsidRDefault="00A41FDF" w:rsidP="00A41FDF">
            <w:pPr>
              <w:rPr>
                <w:rFonts w:ascii="Cambria" w:hAnsi="Cambria"/>
                <w:sz w:val="22"/>
                <w:szCs w:val="22"/>
              </w:rPr>
            </w:pPr>
            <w:r>
              <w:t xml:space="preserve">En physique chimie en spécialité de première, </w:t>
            </w:r>
            <w:r>
              <w:rPr>
                <w:rFonts w:ascii="Cambria" w:hAnsi="Cambria"/>
                <w:sz w:val="22"/>
                <w:szCs w:val="22"/>
              </w:rPr>
              <w:t>on aborde l’effet joule et la notion de rendement d’un convertisseur</w:t>
            </w:r>
            <w:r w:rsidR="00322B11">
              <w:rPr>
                <w:rFonts w:ascii="Cambria" w:hAnsi="Cambria"/>
                <w:sz w:val="22"/>
                <w:szCs w:val="22"/>
              </w:rPr>
              <w:t>.</w:t>
            </w:r>
          </w:p>
          <w:p w14:paraId="6C224940" w14:textId="21C98A54" w:rsidR="00322B11" w:rsidRDefault="00322B11" w:rsidP="00A41FDF">
            <w:pPr>
              <w:rPr>
                <w:rFonts w:ascii="Cambria" w:hAnsi="Cambria"/>
                <w:sz w:val="22"/>
                <w:szCs w:val="22"/>
              </w:rPr>
            </w:pPr>
            <w:r>
              <w:rPr>
                <w:rFonts w:ascii="Cambria" w:hAnsi="Cambria"/>
                <w:sz w:val="22"/>
                <w:szCs w:val="22"/>
              </w:rPr>
              <w:t>En spécialité en terminale on se focalise sur le condensteur (capacité, modèle du circuit RC série).</w:t>
            </w:r>
          </w:p>
          <w:p w14:paraId="01A4E0FF" w14:textId="00095C4F" w:rsidR="00A41FDF" w:rsidRDefault="00A41FDF" w:rsidP="00A41FDF"/>
        </w:tc>
      </w:tr>
      <w:tr w:rsidR="00A41FDF" w14:paraId="79C196E5" w14:textId="77777777" w:rsidTr="681B9274">
        <w:tc>
          <w:tcPr>
            <w:tcW w:w="14601" w:type="dxa"/>
            <w:gridSpan w:val="5"/>
          </w:tcPr>
          <w:p w14:paraId="160DAD60" w14:textId="77777777" w:rsidR="00A41FDF" w:rsidRDefault="00A41FDF" w:rsidP="00A41FDF">
            <w:pPr>
              <w:spacing w:after="120" w:line="259" w:lineRule="auto"/>
            </w:pPr>
            <w:r>
              <w:rPr>
                <w:b/>
                <w:color w:val="007F9F"/>
              </w:rPr>
              <w:t xml:space="preserve">Prérequis et limites </w:t>
            </w:r>
          </w:p>
          <w:p w14:paraId="1DD7C587" w14:textId="25C0FB6B" w:rsidR="00A41FDF" w:rsidRDefault="00A41FDF" w:rsidP="00A41FDF">
            <w:r>
              <w:rPr>
                <w:sz w:val="22"/>
              </w:rPr>
              <w:t>Les lois de l’électricité, les notions d’énergie et de puissance électriques ainsi que celles d’énergie cinétique et potentielle, déjà rencontrées, sont mobilisées. Aucune expression d’énergie stockée par un système donné n’est exigible</w:t>
            </w:r>
          </w:p>
        </w:tc>
      </w:tr>
      <w:tr w:rsidR="00A41FDF" w14:paraId="598EA1B1" w14:textId="77777777" w:rsidTr="681B9274">
        <w:tc>
          <w:tcPr>
            <w:tcW w:w="14601" w:type="dxa"/>
            <w:gridSpan w:val="5"/>
          </w:tcPr>
          <w:p w14:paraId="06E22198" w14:textId="77777777" w:rsidR="00323312" w:rsidRDefault="00323312" w:rsidP="00323312">
            <w:pPr>
              <w:spacing w:after="75" w:line="259" w:lineRule="auto"/>
            </w:pPr>
            <w:r>
              <w:rPr>
                <w:b/>
                <w:color w:val="007F9F"/>
              </w:rPr>
              <w:t>2.3 Optimisation du transport de l’électricité</w:t>
            </w:r>
            <w:r>
              <w:rPr>
                <w:i/>
                <w:color w:val="4F81BD"/>
              </w:rPr>
              <w:t xml:space="preserve"> </w:t>
            </w:r>
            <w:r>
              <w:rPr>
                <w:i/>
                <w:color w:val="0070C0"/>
              </w:rPr>
              <w:t xml:space="preserve"> </w:t>
            </w:r>
          </w:p>
          <w:p w14:paraId="2C2F79A5" w14:textId="77777777" w:rsidR="00323312" w:rsidRDefault="00323312" w:rsidP="00323312">
            <w:pPr>
              <w:spacing w:after="120"/>
              <w:ind w:right="51"/>
            </w:pPr>
            <w:r>
              <w:rPr>
                <w:i/>
                <w:sz w:val="22"/>
              </w:rPr>
              <w:t xml:space="preserve">La minimisation des pertes par effet Joule dans la distribution d’électricité le long d’un réseau entre dans le cadre général des problèmes mathématiques de transport et d’optimisation sous contraintes. Ces problèmes, très difficiles à résoudre car non linéaires, nécessitent des traitements numériques lorsqu’ils mettent en jeu un nombre important d’inconnues ou de données.  </w:t>
            </w:r>
          </w:p>
          <w:p w14:paraId="24C2A05C" w14:textId="345A75F9" w:rsidR="00A41FDF" w:rsidRDefault="00323312" w:rsidP="00323312">
            <w:pPr>
              <w:spacing w:before="72"/>
              <w:ind w:left="34"/>
            </w:pPr>
            <w:r>
              <w:rPr>
                <w:i/>
                <w:sz w:val="22"/>
              </w:rPr>
              <w:t>Présentés ici dans le cadre du transport d’électricité, les graphes sont des modèles mathématiques utilisés pour traiter des problèmes relevant de domaines variés : transport d’information dans un réseau informatique, réseaux sociaux, transactions financières, analyses génétiques, etc.</w:t>
            </w:r>
          </w:p>
        </w:tc>
      </w:tr>
      <w:tr w:rsidR="00A41FDF" w14:paraId="5AEC2476" w14:textId="77777777" w:rsidTr="681B9274">
        <w:tc>
          <w:tcPr>
            <w:tcW w:w="3402" w:type="dxa"/>
            <w:vAlign w:val="center"/>
          </w:tcPr>
          <w:p w14:paraId="4FDDECF3" w14:textId="0645E79F" w:rsidR="00A41FDF" w:rsidRDefault="00A41FDF" w:rsidP="00A41FDF">
            <w:bookmarkStart w:id="5" w:name="_Hlk6934373"/>
            <w:r>
              <w:rPr>
                <w:rFonts w:ascii="Arial" w:hAnsi="Arial" w:cs="Arial"/>
                <w:b/>
                <w:bCs/>
                <w:sz w:val="22"/>
                <w:szCs w:val="22"/>
              </w:rPr>
              <w:t>Savoirs</w:t>
            </w:r>
          </w:p>
        </w:tc>
        <w:tc>
          <w:tcPr>
            <w:tcW w:w="2987" w:type="dxa"/>
            <w:vAlign w:val="center"/>
          </w:tcPr>
          <w:p w14:paraId="0FD80477" w14:textId="44C9C038" w:rsidR="00A41FDF" w:rsidRDefault="00A41FDF" w:rsidP="00A41FDF">
            <w:r>
              <w:rPr>
                <w:rFonts w:ascii="Arial" w:hAnsi="Arial" w:cs="Arial"/>
                <w:b/>
                <w:bCs/>
                <w:sz w:val="22"/>
                <w:szCs w:val="22"/>
              </w:rPr>
              <w:t>Savoir-faire</w:t>
            </w:r>
          </w:p>
        </w:tc>
        <w:tc>
          <w:tcPr>
            <w:tcW w:w="2830" w:type="dxa"/>
            <w:shd w:val="clear" w:color="auto" w:fill="BDD6EE" w:themeFill="accent5" w:themeFillTint="66"/>
          </w:tcPr>
          <w:p w14:paraId="6D300911" w14:textId="4FF02E2F" w:rsidR="00A41FDF" w:rsidRDefault="00A41FDF" w:rsidP="00A41FDF">
            <w:r>
              <w:rPr>
                <w:rFonts w:asciiTheme="minorHAnsi" w:hAnsiTheme="minorHAnsi" w:cstheme="minorHAnsi"/>
                <w:b/>
              </w:rPr>
              <w:t>Capacités exigibles de remobilisables</w:t>
            </w:r>
          </w:p>
        </w:tc>
        <w:tc>
          <w:tcPr>
            <w:tcW w:w="2405" w:type="dxa"/>
          </w:tcPr>
          <w:p w14:paraId="66D8C816" w14:textId="4C44BAC2" w:rsidR="00A41FDF" w:rsidRDefault="00A41FDF" w:rsidP="00A41FDF">
            <w:r w:rsidRPr="000C5D32">
              <w:rPr>
                <w:rFonts w:asciiTheme="minorHAnsi" w:hAnsiTheme="minorHAnsi" w:cstheme="minorHAnsi"/>
                <w:b/>
              </w:rPr>
              <w:t>S</w:t>
            </w:r>
            <w:r>
              <w:rPr>
                <w:rFonts w:asciiTheme="minorHAnsi" w:hAnsiTheme="minorHAnsi" w:cstheme="minorHAnsi"/>
                <w:b/>
              </w:rPr>
              <w:t>aut conceptuel en terminale</w:t>
            </w:r>
          </w:p>
        </w:tc>
        <w:tc>
          <w:tcPr>
            <w:tcW w:w="2977" w:type="dxa"/>
          </w:tcPr>
          <w:p w14:paraId="2580D806" w14:textId="17DA58A5" w:rsidR="00A41FDF" w:rsidRDefault="00A41FDF" w:rsidP="00A41FDF">
            <w:r w:rsidRPr="007F4857">
              <w:rPr>
                <w:rFonts w:asciiTheme="minorHAnsi" w:hAnsiTheme="minorHAnsi" w:cstheme="minorHAnsi"/>
                <w:b/>
              </w:rPr>
              <w:t>Liens avec les programmes de spécialité</w:t>
            </w:r>
          </w:p>
        </w:tc>
      </w:tr>
      <w:bookmarkEnd w:id="5"/>
      <w:tr w:rsidR="00323312" w14:paraId="5F20020F" w14:textId="77777777" w:rsidTr="681B9274">
        <w:tc>
          <w:tcPr>
            <w:tcW w:w="3402" w:type="dxa"/>
          </w:tcPr>
          <w:p w14:paraId="21B162A9" w14:textId="77777777" w:rsidR="00323312" w:rsidRDefault="00323312" w:rsidP="00323312">
            <w:pPr>
              <w:spacing w:after="241" w:line="275" w:lineRule="auto"/>
              <w:ind w:right="50"/>
            </w:pPr>
            <w:r>
              <w:rPr>
                <w:sz w:val="22"/>
              </w:rPr>
              <w:t xml:space="preserve">Au cours du transport, une partie de l’énergie électrique, dissipée dans l’environnement par effet Joule, ne parvient pas à l’utilisateur.  </w:t>
            </w:r>
          </w:p>
          <w:p w14:paraId="0C56CB03" w14:textId="2D22AAB0" w:rsidR="00323312" w:rsidRPr="00DB499F" w:rsidRDefault="00323312" w:rsidP="00323312">
            <w:pPr>
              <w:rPr>
                <w:rFonts w:ascii="Arial" w:hAnsi="Arial" w:cs="Arial"/>
              </w:rPr>
            </w:pPr>
            <w:r>
              <w:rPr>
                <w:sz w:val="22"/>
              </w:rPr>
              <w:lastRenderedPageBreak/>
              <w:t>L’utilisation de la haute tension dans les lignes électriques limite les pertes par effet Joule, à puissance transportée fixée.</w:t>
            </w:r>
            <w:r>
              <w:rPr>
                <w:color w:val="0000FF"/>
                <w:sz w:val="22"/>
              </w:rPr>
              <w:t xml:space="preserve"> </w:t>
            </w:r>
          </w:p>
        </w:tc>
        <w:tc>
          <w:tcPr>
            <w:tcW w:w="2987" w:type="dxa"/>
          </w:tcPr>
          <w:p w14:paraId="25FAEBBE" w14:textId="77777777" w:rsidR="00323312" w:rsidRDefault="00323312" w:rsidP="00323312">
            <w:pPr>
              <w:spacing w:after="118" w:line="276" w:lineRule="auto"/>
              <w:ind w:left="1"/>
            </w:pPr>
            <w:r>
              <w:rPr>
                <w:sz w:val="22"/>
              </w:rPr>
              <w:lastRenderedPageBreak/>
              <w:t xml:space="preserve">Faire un schéma d’un circuit électrique modélisant une ligne à haute tension. </w:t>
            </w:r>
          </w:p>
          <w:p w14:paraId="2632AEA4" w14:textId="77777777" w:rsidR="00323312" w:rsidRDefault="00323312" w:rsidP="00323312">
            <w:pPr>
              <w:spacing w:after="139" w:line="259" w:lineRule="auto"/>
              <w:ind w:left="1"/>
            </w:pPr>
            <w:r>
              <w:rPr>
                <w:sz w:val="22"/>
              </w:rPr>
              <w:t xml:space="preserve"> </w:t>
            </w:r>
          </w:p>
          <w:p w14:paraId="78B6F8AB" w14:textId="0162A286" w:rsidR="00323312" w:rsidRPr="00DB499F" w:rsidRDefault="00323312" w:rsidP="00323312">
            <w:pPr>
              <w:pStyle w:val="Default"/>
            </w:pPr>
            <w:r>
              <w:rPr>
                <w:sz w:val="22"/>
              </w:rPr>
              <w:lastRenderedPageBreak/>
              <w:t xml:space="preserve">Utiliser les formules littérales reliant la puissance à la résistance, l’intensité et la tension pour identifier l’influence de ces grandeurs sur l’effet Joule. </w:t>
            </w:r>
            <w:r>
              <w:rPr>
                <w:color w:val="0000FF"/>
                <w:sz w:val="22"/>
              </w:rPr>
              <w:t xml:space="preserve"> </w:t>
            </w:r>
          </w:p>
        </w:tc>
        <w:tc>
          <w:tcPr>
            <w:tcW w:w="2830" w:type="dxa"/>
            <w:vMerge w:val="restart"/>
            <w:tcBorders>
              <w:top w:val="single" w:sz="4" w:space="0" w:color="auto"/>
            </w:tcBorders>
            <w:shd w:val="clear" w:color="auto" w:fill="BDD6EE" w:themeFill="accent5" w:themeFillTint="66"/>
          </w:tcPr>
          <w:p w14:paraId="62ECBE97" w14:textId="2301D965" w:rsidR="00323312" w:rsidRDefault="00323312" w:rsidP="00323312">
            <w:pPr>
              <w:pStyle w:val="Default"/>
              <w:rPr>
                <w:sz w:val="22"/>
                <w:szCs w:val="22"/>
              </w:rPr>
            </w:pPr>
            <w:r>
              <w:rPr>
                <w:sz w:val="22"/>
                <w:szCs w:val="22"/>
              </w:rPr>
              <w:lastRenderedPageBreak/>
              <w:t xml:space="preserve">Exploiter la loi des mailles et la loi des noeuds dans un circuit électrique comportant au plus deux mailles. </w:t>
            </w:r>
          </w:p>
          <w:p w14:paraId="18FDA9F9" w14:textId="566E645C" w:rsidR="005623ED" w:rsidRDefault="005623ED" w:rsidP="00323312">
            <w:pPr>
              <w:pStyle w:val="Default"/>
              <w:rPr>
                <w:sz w:val="22"/>
                <w:szCs w:val="22"/>
              </w:rPr>
            </w:pPr>
          </w:p>
          <w:p w14:paraId="64872832" w14:textId="77777777" w:rsidR="005623ED" w:rsidRDefault="005623ED" w:rsidP="005623ED">
            <w:pPr>
              <w:pStyle w:val="Default"/>
              <w:rPr>
                <w:sz w:val="22"/>
                <w:szCs w:val="22"/>
              </w:rPr>
            </w:pPr>
            <w:r>
              <w:rPr>
                <w:sz w:val="22"/>
                <w:szCs w:val="22"/>
              </w:rPr>
              <w:lastRenderedPageBreak/>
              <w:t xml:space="preserve">Utiliser la loi d’Ohm. </w:t>
            </w:r>
          </w:p>
          <w:p w14:paraId="301DE3E7" w14:textId="77777777" w:rsidR="005623ED" w:rsidRDefault="005623ED" w:rsidP="005623ED">
            <w:pPr>
              <w:pStyle w:val="Default"/>
              <w:rPr>
                <w:sz w:val="22"/>
                <w:szCs w:val="22"/>
              </w:rPr>
            </w:pPr>
          </w:p>
          <w:p w14:paraId="05BCD150" w14:textId="77777777" w:rsidR="005623ED" w:rsidRDefault="005623ED" w:rsidP="005623ED">
            <w:pPr>
              <w:pStyle w:val="Default"/>
              <w:rPr>
                <w:sz w:val="22"/>
                <w:szCs w:val="22"/>
              </w:rPr>
            </w:pPr>
            <w:r>
              <w:rPr>
                <w:sz w:val="22"/>
                <w:szCs w:val="22"/>
              </w:rPr>
              <w:t>Puissance électrique en courant continu</w:t>
            </w:r>
          </w:p>
          <w:p w14:paraId="37B6ACF9" w14:textId="77777777" w:rsidR="005623ED" w:rsidRDefault="005623ED" w:rsidP="005623ED">
            <w:pPr>
              <w:pStyle w:val="Default"/>
              <w:rPr>
                <w:sz w:val="22"/>
                <w:szCs w:val="22"/>
              </w:rPr>
            </w:pPr>
            <w:r>
              <w:rPr>
                <w:sz w:val="22"/>
                <w:szCs w:val="22"/>
              </w:rPr>
              <w:t xml:space="preserve">P= U.I </w:t>
            </w:r>
          </w:p>
          <w:p w14:paraId="640D1262" w14:textId="77777777" w:rsidR="005623ED" w:rsidRDefault="005623ED" w:rsidP="00323312">
            <w:pPr>
              <w:pStyle w:val="Default"/>
              <w:rPr>
                <w:sz w:val="22"/>
                <w:szCs w:val="22"/>
              </w:rPr>
            </w:pPr>
          </w:p>
          <w:p w14:paraId="439870F1" w14:textId="594312E3" w:rsidR="00323312" w:rsidRDefault="681B9274" w:rsidP="00323312">
            <w:pPr>
              <w:rPr>
                <w:color w:val="538135" w:themeColor="accent6" w:themeShade="BF"/>
              </w:rPr>
            </w:pPr>
            <w:r w:rsidRPr="681B9274">
              <w:rPr>
                <w:color w:val="0070C0"/>
              </w:rPr>
              <w:t>Les lectures graphiques sont à exploiter, ainsi que les fonctionnalités des logiciels de géométrie dynamique, de calcul formel et Python.</w:t>
            </w:r>
          </w:p>
          <w:p w14:paraId="1E6EBC5F" w14:textId="77777777" w:rsidR="00323312" w:rsidRDefault="00323312" w:rsidP="00323312"/>
        </w:tc>
        <w:tc>
          <w:tcPr>
            <w:tcW w:w="2405" w:type="dxa"/>
            <w:vMerge w:val="restart"/>
          </w:tcPr>
          <w:p w14:paraId="59A8F1E4" w14:textId="1C95E1EA" w:rsidR="00323312" w:rsidRDefault="681B9274" w:rsidP="00323312">
            <w:r>
              <w:lastRenderedPageBreak/>
              <w:t>Le graphe orienté est un nouveau mode de modélisation.</w:t>
            </w:r>
            <w:r w:rsidRPr="681B9274">
              <w:rPr>
                <w:color w:val="0070C0"/>
              </w:rPr>
              <w:t xml:space="preserve"> La théorie mathématique des graphes n’est pas exigible. Ces derniers </w:t>
            </w:r>
            <w:r w:rsidRPr="681B9274">
              <w:rPr>
                <w:color w:val="0070C0"/>
              </w:rPr>
              <w:lastRenderedPageBreak/>
              <w:t>sont à expliciter en contexte.</w:t>
            </w:r>
          </w:p>
          <w:p w14:paraId="193D52EB" w14:textId="465D16A4" w:rsidR="00323312" w:rsidRDefault="681B9274" w:rsidP="681B9274">
            <w:pPr>
              <w:rPr>
                <w:color w:val="0070C0"/>
              </w:rPr>
            </w:pPr>
            <w:r w:rsidRPr="681B9274">
              <w:rPr>
                <w:color w:val="0070C0"/>
              </w:rPr>
              <w:t xml:space="preserve">La compétence mathématique “modéliser” est régulièrement investie dans ce thème. </w:t>
            </w:r>
          </w:p>
        </w:tc>
        <w:tc>
          <w:tcPr>
            <w:tcW w:w="2977" w:type="dxa"/>
            <w:vMerge w:val="restart"/>
          </w:tcPr>
          <w:p w14:paraId="75EE490D" w14:textId="6253126D" w:rsidR="00323312" w:rsidRDefault="00323312" w:rsidP="00323312">
            <w:pPr>
              <w:rPr>
                <w:rFonts w:ascii="Cambria" w:hAnsi="Cambria"/>
                <w:sz w:val="22"/>
                <w:szCs w:val="22"/>
              </w:rPr>
            </w:pPr>
            <w:r>
              <w:rPr>
                <w:rFonts w:ascii="Cambria" w:hAnsi="Cambria"/>
                <w:sz w:val="22"/>
                <w:szCs w:val="22"/>
              </w:rPr>
              <w:lastRenderedPageBreak/>
              <w:t xml:space="preserve">En spécialité de première on aborde aussi la modélisation d’une source réelle de tension continue comme association en série d’une source idéale de tension </w:t>
            </w:r>
            <w:r>
              <w:rPr>
                <w:rFonts w:ascii="Cambria" w:hAnsi="Cambria"/>
                <w:sz w:val="22"/>
                <w:szCs w:val="22"/>
              </w:rPr>
              <w:lastRenderedPageBreak/>
              <w:t xml:space="preserve">continue et d’une résistance. </w:t>
            </w:r>
          </w:p>
          <w:p w14:paraId="27F6BFB2" w14:textId="4024D499" w:rsidR="005623ED" w:rsidRDefault="005623ED" w:rsidP="00323312">
            <w:pPr>
              <w:rPr>
                <w:rFonts w:ascii="Cambria" w:hAnsi="Cambria"/>
                <w:sz w:val="22"/>
                <w:szCs w:val="22"/>
              </w:rPr>
            </w:pPr>
          </w:p>
          <w:p w14:paraId="5FFCCF9E" w14:textId="0C528653" w:rsidR="005623ED" w:rsidRDefault="681B9274" w:rsidP="00323312">
            <w:pPr>
              <w:rPr>
                <w:rFonts w:ascii="Cambria" w:hAnsi="Cambria"/>
                <w:sz w:val="22"/>
                <w:szCs w:val="22"/>
              </w:rPr>
            </w:pPr>
            <w:r w:rsidRPr="681B9274">
              <w:rPr>
                <w:rFonts w:ascii="Cambria" w:hAnsi="Cambria"/>
                <w:sz w:val="22"/>
                <w:szCs w:val="22"/>
              </w:rPr>
              <w:t>On abord également l’effet joule.</w:t>
            </w:r>
          </w:p>
          <w:p w14:paraId="2F411529" w14:textId="5089CB63" w:rsidR="00323312" w:rsidRDefault="00323312" w:rsidP="681B9274">
            <w:pPr>
              <w:rPr>
                <w:color w:val="0070C0"/>
              </w:rPr>
            </w:pPr>
          </w:p>
          <w:p w14:paraId="79925D51" w14:textId="57F01CAD" w:rsidR="00323312" w:rsidRDefault="00323312" w:rsidP="681B9274">
            <w:pPr>
              <w:rPr>
                <w:color w:val="0070C0"/>
              </w:rPr>
            </w:pPr>
          </w:p>
          <w:p w14:paraId="249D27EF" w14:textId="5AC42087" w:rsidR="00323312" w:rsidRDefault="00323312" w:rsidP="681B9274">
            <w:pPr>
              <w:rPr>
                <w:color w:val="0070C0"/>
              </w:rPr>
            </w:pPr>
          </w:p>
          <w:p w14:paraId="4A22734E" w14:textId="28EE797C" w:rsidR="00323312" w:rsidRDefault="00323312" w:rsidP="681B9274">
            <w:pPr>
              <w:rPr>
                <w:color w:val="0070C0"/>
              </w:rPr>
            </w:pPr>
          </w:p>
          <w:p w14:paraId="09DCADAE" w14:textId="63CE841C" w:rsidR="00323312" w:rsidRDefault="00323312" w:rsidP="681B9274">
            <w:pPr>
              <w:rPr>
                <w:color w:val="0070C0"/>
              </w:rPr>
            </w:pPr>
          </w:p>
          <w:p w14:paraId="07050A0C" w14:textId="53A006B9" w:rsidR="00323312" w:rsidRDefault="00323312" w:rsidP="681B9274">
            <w:pPr>
              <w:rPr>
                <w:color w:val="0070C0"/>
              </w:rPr>
            </w:pPr>
          </w:p>
          <w:p w14:paraId="438AF7E3" w14:textId="7519B49F" w:rsidR="00323312" w:rsidRDefault="00323312" w:rsidP="681B9274">
            <w:pPr>
              <w:rPr>
                <w:color w:val="0070C0"/>
              </w:rPr>
            </w:pPr>
          </w:p>
          <w:p w14:paraId="1D4B8EE2" w14:textId="0C3C625B" w:rsidR="00323312" w:rsidRDefault="00323312" w:rsidP="681B9274">
            <w:pPr>
              <w:rPr>
                <w:color w:val="0070C0"/>
              </w:rPr>
            </w:pPr>
          </w:p>
          <w:p w14:paraId="60A2C302" w14:textId="3408A2B0" w:rsidR="00323312" w:rsidRDefault="681B9274" w:rsidP="681B9274">
            <w:pPr>
              <w:rPr>
                <w:color w:val="0070C0"/>
              </w:rPr>
            </w:pPr>
            <w:r w:rsidRPr="681B9274">
              <w:rPr>
                <w:color w:val="0070C0"/>
              </w:rPr>
              <w:t>La résolution des équations du second degré est du programme de spécialité de première.</w:t>
            </w:r>
          </w:p>
        </w:tc>
      </w:tr>
      <w:tr w:rsidR="00323312" w14:paraId="073A12FB" w14:textId="77777777" w:rsidTr="681B9274">
        <w:tc>
          <w:tcPr>
            <w:tcW w:w="3402" w:type="dxa"/>
            <w:vAlign w:val="bottom"/>
          </w:tcPr>
          <w:p w14:paraId="250D87F9" w14:textId="77777777" w:rsidR="00323312" w:rsidRDefault="00323312" w:rsidP="00323312">
            <w:pPr>
              <w:spacing w:after="241" w:line="275" w:lineRule="auto"/>
              <w:ind w:right="50"/>
            </w:pPr>
            <w:r>
              <w:rPr>
                <w:sz w:val="22"/>
              </w:rPr>
              <w:lastRenderedPageBreak/>
              <w:t xml:space="preserve">Un réseau de transport électrique peut être modélisé mathématiquement par un graphe orienté dont les arcs représentent les lignes électriques et dont les sommets représentent les sources distributrices, les nœuds intermédiaires et les cibles destinatrices. </w:t>
            </w:r>
          </w:p>
          <w:p w14:paraId="13261D3F" w14:textId="77777777" w:rsidR="00323312" w:rsidRDefault="00323312" w:rsidP="00323312">
            <w:pPr>
              <w:spacing w:after="324" w:line="275" w:lineRule="auto"/>
              <w:ind w:right="50"/>
            </w:pPr>
            <w:r>
              <w:rPr>
                <w:sz w:val="22"/>
              </w:rPr>
              <w:t xml:space="preserve">Dans ce modèle, l’objectif est de minimiser les pertes par effet Joule sur l’ensemble du réseau sous les contraintes suivantes :  </w:t>
            </w:r>
          </w:p>
          <w:p w14:paraId="383CBFCC" w14:textId="77777777" w:rsidR="00323312" w:rsidRDefault="00323312" w:rsidP="00323312">
            <w:pPr>
              <w:widowControl/>
              <w:numPr>
                <w:ilvl w:val="0"/>
                <w:numId w:val="15"/>
              </w:numPr>
              <w:kinsoku/>
              <w:spacing w:after="79" w:line="276" w:lineRule="auto"/>
              <w:ind w:right="25" w:hanging="360"/>
              <w:jc w:val="both"/>
            </w:pPr>
            <w:r>
              <w:rPr>
                <w:sz w:val="22"/>
              </w:rPr>
              <w:t xml:space="preserve">l’intensité totale sortant d’une source est limitée par la puissance maximale distribuée ; </w:t>
            </w:r>
          </w:p>
          <w:p w14:paraId="0D96BAA5" w14:textId="77777777" w:rsidR="00323312" w:rsidRPr="00F94588" w:rsidRDefault="00323312" w:rsidP="00323312">
            <w:pPr>
              <w:widowControl/>
              <w:numPr>
                <w:ilvl w:val="0"/>
                <w:numId w:val="15"/>
              </w:numPr>
              <w:kinsoku/>
              <w:spacing w:line="259" w:lineRule="auto"/>
              <w:ind w:right="25" w:hanging="360"/>
              <w:jc w:val="both"/>
            </w:pPr>
            <w:r>
              <w:rPr>
                <w:sz w:val="22"/>
              </w:rPr>
              <w:t xml:space="preserve">l’intensité totale entrant dans chaque nœud intermédiaire est égale à l’intensité totale qui en sort ; </w:t>
            </w:r>
          </w:p>
          <w:p w14:paraId="16E270E4" w14:textId="6A8314FF" w:rsidR="00323312" w:rsidRPr="00DB499F" w:rsidRDefault="00323312" w:rsidP="00323312">
            <w:pPr>
              <w:rPr>
                <w:rFonts w:ascii="Arial" w:hAnsi="Arial" w:cs="Arial"/>
              </w:rPr>
            </w:pPr>
            <w:r>
              <w:rPr>
                <w:sz w:val="22"/>
              </w:rPr>
              <w:t xml:space="preserve">l’intensité totale  arrivant à chaque </w:t>
            </w:r>
            <w:r>
              <w:rPr>
                <w:sz w:val="22"/>
              </w:rPr>
              <w:lastRenderedPageBreak/>
              <w:t>cible est imposée par la puissance qui y est utilisée.</w:t>
            </w:r>
          </w:p>
        </w:tc>
        <w:tc>
          <w:tcPr>
            <w:tcW w:w="2987" w:type="dxa"/>
          </w:tcPr>
          <w:p w14:paraId="41C9584C" w14:textId="77777777" w:rsidR="00323312" w:rsidRDefault="00323312" w:rsidP="00323312">
            <w:pPr>
              <w:spacing w:after="238" w:line="276" w:lineRule="auto"/>
              <w:ind w:left="1" w:right="51"/>
            </w:pPr>
            <w:r>
              <w:rPr>
                <w:sz w:val="22"/>
              </w:rPr>
              <w:lastRenderedPageBreak/>
              <w:t xml:space="preserve">Modéliser un réseau de distribution électrique simple par un graphe orienté. Exprimer mathématiquement les contraintes et la fonction à minimiser. </w:t>
            </w:r>
          </w:p>
          <w:p w14:paraId="644D3765" w14:textId="77777777" w:rsidR="00323312" w:rsidRDefault="00323312" w:rsidP="00323312">
            <w:pPr>
              <w:spacing w:after="239" w:line="275" w:lineRule="auto"/>
              <w:ind w:left="1" w:right="51"/>
            </w:pPr>
            <w:r>
              <w:rPr>
                <w:sz w:val="22"/>
              </w:rPr>
              <w:t xml:space="preserve">Sur l’exemple d’un réseau comprenant uniquement deux sources, un nœud intermédiaire et deux cibles, formuler le problème de minimisation des pertes par effet Joule et le résoudre pour différentes valeurs numériques correspondant aux productions des sources et aux besoins des cibles. </w:t>
            </w:r>
            <w:r>
              <w:rPr>
                <w:rFonts w:eastAsia="Times New Roman"/>
                <w:sz w:val="16"/>
              </w:rPr>
              <w:t xml:space="preserve"> </w:t>
            </w:r>
            <w:r>
              <w:rPr>
                <w:sz w:val="22"/>
              </w:rPr>
              <w:t xml:space="preserve"> </w:t>
            </w:r>
          </w:p>
          <w:p w14:paraId="081189F6" w14:textId="01530B17" w:rsidR="00323312" w:rsidRPr="00DB499F" w:rsidRDefault="00323312" w:rsidP="00323312">
            <w:pPr>
              <w:rPr>
                <w:rFonts w:ascii="Arial" w:hAnsi="Arial" w:cs="Arial"/>
              </w:rPr>
            </w:pPr>
            <w:r>
              <w:rPr>
                <w:color w:val="0000FF"/>
                <w:sz w:val="22"/>
              </w:rPr>
              <w:t xml:space="preserve"> </w:t>
            </w:r>
          </w:p>
        </w:tc>
        <w:tc>
          <w:tcPr>
            <w:tcW w:w="2830" w:type="dxa"/>
            <w:vMerge/>
          </w:tcPr>
          <w:p w14:paraId="23E65F83" w14:textId="77777777" w:rsidR="00323312" w:rsidRDefault="00323312" w:rsidP="00323312"/>
        </w:tc>
        <w:tc>
          <w:tcPr>
            <w:tcW w:w="2405" w:type="dxa"/>
            <w:vMerge/>
          </w:tcPr>
          <w:p w14:paraId="57EAE075" w14:textId="77777777" w:rsidR="00323312" w:rsidRDefault="00323312" w:rsidP="00323312"/>
        </w:tc>
        <w:tc>
          <w:tcPr>
            <w:tcW w:w="2977" w:type="dxa"/>
            <w:vMerge/>
          </w:tcPr>
          <w:p w14:paraId="68B1C75C" w14:textId="77777777" w:rsidR="00323312" w:rsidRDefault="00323312" w:rsidP="00323312"/>
        </w:tc>
      </w:tr>
      <w:tr w:rsidR="00323312" w:rsidRPr="00DB499F" w14:paraId="5E17DBE7" w14:textId="77777777" w:rsidTr="681B9274">
        <w:trPr>
          <w:trHeight w:val="757"/>
        </w:trPr>
        <w:tc>
          <w:tcPr>
            <w:tcW w:w="14601" w:type="dxa"/>
            <w:gridSpan w:val="5"/>
          </w:tcPr>
          <w:p w14:paraId="03BA7DD8" w14:textId="77777777" w:rsidR="00323312" w:rsidRDefault="00323312" w:rsidP="00323312">
            <w:pPr>
              <w:spacing w:after="118" w:line="259" w:lineRule="auto"/>
            </w:pPr>
            <w:r>
              <w:rPr>
                <w:b/>
                <w:color w:val="007F9F"/>
              </w:rPr>
              <w:t xml:space="preserve">Prérequis et limites </w:t>
            </w:r>
          </w:p>
          <w:p w14:paraId="247A6BBC" w14:textId="77777777" w:rsidR="00323312" w:rsidRDefault="00323312" w:rsidP="00323312">
            <w:pPr>
              <w:spacing w:after="120" w:line="239" w:lineRule="auto"/>
            </w:pPr>
            <w:r>
              <w:rPr>
                <w:sz w:val="22"/>
              </w:rPr>
              <w:t xml:space="preserve">Les relations quantitatives associées à l’effet Joule sont connues pour le courant continu. Elles sont admises ou fournies pour le courant alternatif. La notion de facteur de puissance est hors programme. </w:t>
            </w:r>
          </w:p>
          <w:p w14:paraId="0783E1D8" w14:textId="77777777" w:rsidR="00323312" w:rsidRDefault="00323312" w:rsidP="00323312">
            <w:pPr>
              <w:spacing w:after="118" w:line="239" w:lineRule="auto"/>
              <w:ind w:right="48"/>
            </w:pPr>
            <w:r>
              <w:rPr>
                <w:sz w:val="22"/>
              </w:rPr>
              <w:t xml:space="preserve">La notion de graphe, abordée dans l’enseignement de sciences numériques et technologie de seconde, est ici mobilisée. Il convient d’insister sur la différence entre les deux types de modèles introduits dans ce sous-thème, le modèle de circuit électrique et le modèle mathématique de graphe.  </w:t>
            </w:r>
          </w:p>
          <w:p w14:paraId="463799E6" w14:textId="697BC713" w:rsidR="00323312" w:rsidRPr="00DB499F" w:rsidRDefault="00323312" w:rsidP="00323312">
            <w:pPr>
              <w:widowControl/>
              <w:kinsoku/>
              <w:autoSpaceDE w:val="0"/>
              <w:autoSpaceDN w:val="0"/>
              <w:adjustRightInd w:val="0"/>
              <w:rPr>
                <w:rFonts w:ascii="Arial" w:eastAsiaTheme="minorHAnsi" w:hAnsi="Arial" w:cs="Arial"/>
                <w:color w:val="000000"/>
                <w:sz w:val="22"/>
                <w:szCs w:val="22"/>
                <w:lang w:eastAsia="en-US"/>
              </w:rPr>
            </w:pPr>
            <w:r>
              <w:rPr>
                <w:sz w:val="22"/>
              </w:rPr>
              <w:t>Les connaissances sur les fonctions sont mobilisées.</w:t>
            </w:r>
          </w:p>
        </w:tc>
      </w:tr>
      <w:tr w:rsidR="00323312" w14:paraId="0CDCEB60" w14:textId="77777777" w:rsidTr="681B9274">
        <w:tc>
          <w:tcPr>
            <w:tcW w:w="14601" w:type="dxa"/>
            <w:gridSpan w:val="5"/>
          </w:tcPr>
          <w:p w14:paraId="0E69CB4F" w14:textId="77777777" w:rsidR="00C90EBF" w:rsidRDefault="00C90EBF" w:rsidP="00C90EBF">
            <w:pPr>
              <w:spacing w:after="75" w:line="259" w:lineRule="auto"/>
            </w:pPr>
            <w:r>
              <w:rPr>
                <w:b/>
                <w:color w:val="007F9F"/>
              </w:rPr>
              <w:t>2.4 Choix énergétiques et impacts sur les sociétés</w:t>
            </w:r>
            <w:r>
              <w:rPr>
                <w:color w:val="92D050"/>
              </w:rPr>
              <w:t xml:space="preserve"> </w:t>
            </w:r>
          </w:p>
          <w:p w14:paraId="37E8F544" w14:textId="0BA93FD0" w:rsidR="00323312" w:rsidRDefault="00C90EBF" w:rsidP="00C90EBF">
            <w:pPr>
              <w:spacing w:before="72"/>
              <w:ind w:left="34"/>
              <w:rPr>
                <w:rFonts w:ascii="Arial" w:hAnsi="Arial" w:cs="Arial"/>
                <w:b/>
                <w:bCs/>
                <w:color w:val="17818E"/>
                <w:spacing w:val="-4"/>
                <w:w w:val="105"/>
                <w:sz w:val="22"/>
                <w:szCs w:val="22"/>
              </w:rPr>
            </w:pPr>
            <w:r>
              <w:rPr>
                <w:i/>
                <w:sz w:val="22"/>
              </w:rPr>
              <w:t>Pour les sociétés, l’enjeu climatique et environnemental est celui d’une transition entre la situation actuelle et un développement fondé sur un régime durable de conversion et d’utilisation de l’énergie. La complexité de cette transition impose de connaître, comprendre et hiérarchiser les paramètres sur lesquels il est possible d’agir, individuellement et collectivement.</w:t>
            </w:r>
          </w:p>
          <w:tbl>
            <w:tblPr>
              <w:tblW w:w="0" w:type="auto"/>
              <w:tblBorders>
                <w:top w:val="nil"/>
                <w:left w:val="nil"/>
                <w:bottom w:val="nil"/>
                <w:right w:val="nil"/>
              </w:tblBorders>
              <w:tblLook w:val="0000" w:firstRow="0" w:lastRow="0" w:firstColumn="0" w:lastColumn="0" w:noHBand="0" w:noVBand="0"/>
            </w:tblPr>
            <w:tblGrid>
              <w:gridCol w:w="494"/>
            </w:tblGrid>
            <w:tr w:rsidR="00323312" w:rsidRPr="00981ECE" w14:paraId="0872CB74" w14:textId="77777777" w:rsidTr="0E3BE76E">
              <w:trPr>
                <w:trHeight w:val="356"/>
              </w:trPr>
              <w:tc>
                <w:tcPr>
                  <w:tcW w:w="0" w:type="auto"/>
                </w:tcPr>
                <w:tbl>
                  <w:tblPr>
                    <w:tblW w:w="0" w:type="auto"/>
                    <w:tblBorders>
                      <w:top w:val="nil"/>
                      <w:left w:val="nil"/>
                      <w:bottom w:val="nil"/>
                      <w:right w:val="nil"/>
                    </w:tblBorders>
                    <w:tblLook w:val="0000" w:firstRow="0" w:lastRow="0" w:firstColumn="0" w:lastColumn="0" w:noHBand="0" w:noVBand="0"/>
                  </w:tblPr>
                  <w:tblGrid>
                    <w:gridCol w:w="278"/>
                  </w:tblGrid>
                  <w:tr w:rsidR="00323312" w:rsidRPr="00FB4468" w14:paraId="5B9C5E7C" w14:textId="77777777" w:rsidTr="0E3BE76E">
                    <w:trPr>
                      <w:trHeight w:val="103"/>
                    </w:trPr>
                    <w:tc>
                      <w:tcPr>
                        <w:tcW w:w="0" w:type="auto"/>
                      </w:tcPr>
                      <w:p w14:paraId="1CBB619C" w14:textId="4B6DBB42" w:rsidR="00323312" w:rsidRPr="00FB4468" w:rsidRDefault="00323312" w:rsidP="00323312">
                        <w:pPr>
                          <w:widowControl/>
                          <w:kinsoku/>
                          <w:autoSpaceDE w:val="0"/>
                          <w:autoSpaceDN w:val="0"/>
                          <w:adjustRightInd w:val="0"/>
                          <w:rPr>
                            <w:rFonts w:ascii="Arial" w:hAnsi="Arial" w:cs="Arial"/>
                            <w:color w:val="000000" w:themeColor="text1"/>
                            <w:sz w:val="22"/>
                            <w:szCs w:val="22"/>
                            <w:lang w:eastAsia="en-US"/>
                          </w:rPr>
                        </w:pPr>
                        <w:r w:rsidRPr="0E3BE76E">
                          <w:rPr>
                            <w:rFonts w:ascii="Arial" w:hAnsi="Arial" w:cs="Arial"/>
                            <w:color w:val="000000" w:themeColor="text1"/>
                            <w:sz w:val="22"/>
                            <w:szCs w:val="22"/>
                            <w:lang w:eastAsia="en-US"/>
                          </w:rPr>
                          <w:t xml:space="preserve">. </w:t>
                        </w:r>
                      </w:p>
                    </w:tc>
                  </w:tr>
                </w:tbl>
                <w:p w14:paraId="7F15F55C" w14:textId="6F5B4D8F" w:rsidR="00323312" w:rsidRPr="00981ECE" w:rsidRDefault="00323312" w:rsidP="00323312">
                  <w:pPr>
                    <w:widowControl/>
                    <w:kinsoku/>
                    <w:autoSpaceDE w:val="0"/>
                    <w:autoSpaceDN w:val="0"/>
                    <w:adjustRightInd w:val="0"/>
                    <w:rPr>
                      <w:rFonts w:ascii="Arial" w:eastAsiaTheme="minorHAnsi" w:hAnsi="Arial" w:cs="Arial"/>
                      <w:color w:val="000000"/>
                      <w:sz w:val="22"/>
                      <w:szCs w:val="22"/>
                      <w:lang w:eastAsia="en-US"/>
                    </w:rPr>
                  </w:pPr>
                </w:p>
              </w:tc>
            </w:tr>
          </w:tbl>
          <w:p w14:paraId="7AFB118B" w14:textId="77777777" w:rsidR="00323312" w:rsidRDefault="00323312" w:rsidP="00323312"/>
        </w:tc>
      </w:tr>
      <w:tr w:rsidR="00323312" w14:paraId="6FDBEDC7" w14:textId="77777777" w:rsidTr="681B9274">
        <w:tc>
          <w:tcPr>
            <w:tcW w:w="3402" w:type="dxa"/>
            <w:vAlign w:val="center"/>
          </w:tcPr>
          <w:p w14:paraId="656E8321" w14:textId="56233E75" w:rsidR="00323312" w:rsidRDefault="00323312" w:rsidP="00323312">
            <w:r>
              <w:rPr>
                <w:rFonts w:ascii="Arial" w:hAnsi="Arial" w:cs="Arial"/>
                <w:b/>
                <w:bCs/>
                <w:sz w:val="22"/>
                <w:szCs w:val="22"/>
              </w:rPr>
              <w:t>Savoirs</w:t>
            </w:r>
          </w:p>
        </w:tc>
        <w:tc>
          <w:tcPr>
            <w:tcW w:w="2987" w:type="dxa"/>
            <w:vAlign w:val="center"/>
          </w:tcPr>
          <w:p w14:paraId="5BA97ED9" w14:textId="647C9776" w:rsidR="00323312" w:rsidRDefault="00323312" w:rsidP="00323312">
            <w:r>
              <w:rPr>
                <w:rFonts w:ascii="Arial" w:hAnsi="Arial" w:cs="Arial"/>
                <w:b/>
                <w:bCs/>
                <w:sz w:val="22"/>
                <w:szCs w:val="22"/>
              </w:rPr>
              <w:t>Savoir-faire</w:t>
            </w:r>
          </w:p>
        </w:tc>
        <w:tc>
          <w:tcPr>
            <w:tcW w:w="2830" w:type="dxa"/>
            <w:shd w:val="clear" w:color="auto" w:fill="BDD6EE" w:themeFill="accent5" w:themeFillTint="66"/>
          </w:tcPr>
          <w:p w14:paraId="10744053" w14:textId="098313FF" w:rsidR="00323312" w:rsidRDefault="00323312" w:rsidP="00323312">
            <w:r>
              <w:rPr>
                <w:rFonts w:asciiTheme="minorHAnsi" w:hAnsiTheme="minorHAnsi" w:cstheme="minorHAnsi"/>
                <w:b/>
              </w:rPr>
              <w:t>Capacités exigibles de remobilisables</w:t>
            </w:r>
          </w:p>
        </w:tc>
        <w:tc>
          <w:tcPr>
            <w:tcW w:w="2405" w:type="dxa"/>
          </w:tcPr>
          <w:p w14:paraId="56D45C6F" w14:textId="7554162B" w:rsidR="00323312" w:rsidRDefault="00323312" w:rsidP="00323312">
            <w:r w:rsidRPr="000C5D32">
              <w:rPr>
                <w:rFonts w:asciiTheme="minorHAnsi" w:hAnsiTheme="minorHAnsi" w:cstheme="minorHAnsi"/>
                <w:b/>
              </w:rPr>
              <w:t>S</w:t>
            </w:r>
            <w:r>
              <w:rPr>
                <w:rFonts w:asciiTheme="minorHAnsi" w:hAnsiTheme="minorHAnsi" w:cstheme="minorHAnsi"/>
                <w:b/>
              </w:rPr>
              <w:t>aut conceptuel en terminale</w:t>
            </w:r>
          </w:p>
        </w:tc>
        <w:tc>
          <w:tcPr>
            <w:tcW w:w="2977" w:type="dxa"/>
          </w:tcPr>
          <w:p w14:paraId="2BEAF594" w14:textId="72037ADC" w:rsidR="00323312" w:rsidRDefault="00323312" w:rsidP="00323312">
            <w:r w:rsidRPr="007F4857">
              <w:rPr>
                <w:rFonts w:asciiTheme="minorHAnsi" w:hAnsiTheme="minorHAnsi" w:cstheme="minorHAnsi"/>
                <w:b/>
              </w:rPr>
              <w:t>Liens avec les programmes de spécialité</w:t>
            </w:r>
          </w:p>
        </w:tc>
      </w:tr>
      <w:tr w:rsidR="00C90EBF" w14:paraId="552C3040" w14:textId="77777777" w:rsidTr="681B9274">
        <w:tc>
          <w:tcPr>
            <w:tcW w:w="3402" w:type="dxa"/>
            <w:vAlign w:val="center"/>
          </w:tcPr>
          <w:p w14:paraId="508F1C35" w14:textId="77777777" w:rsidR="00C90EBF" w:rsidRDefault="00C90EBF" w:rsidP="00C90EBF">
            <w:pPr>
              <w:spacing w:after="241" w:line="275" w:lineRule="auto"/>
              <w:ind w:right="50"/>
            </w:pPr>
            <w:r>
              <w:rPr>
                <w:sz w:val="22"/>
              </w:rPr>
              <w:t xml:space="preserve">Pour que soit mise en œuvre une adaptation efficace aux changements inéluctables et qu’en soit atténué l’impact négatif, les choix énergétiques supposent une compréhension globale du système Terre.  </w:t>
            </w:r>
          </w:p>
          <w:p w14:paraId="1D3A0F99" w14:textId="77777777" w:rsidR="00C90EBF" w:rsidRDefault="00C90EBF" w:rsidP="00C90EBF">
            <w:pPr>
              <w:spacing w:after="241" w:line="275" w:lineRule="auto"/>
              <w:ind w:right="48"/>
            </w:pPr>
            <w:r>
              <w:rPr>
                <w:sz w:val="22"/>
              </w:rPr>
              <w:t xml:space="preserve">Ces choix doivent tenir compte de nombreux critères et paramètres : disponibilité des ressources et adéquation aux besoins, impacts (climatique, écologique, sanitaire, agricole), vulnérabilités et gestion des risques, faisabilité, </w:t>
            </w:r>
            <w:r>
              <w:rPr>
                <w:sz w:val="22"/>
              </w:rPr>
              <w:lastRenderedPageBreak/>
              <w:t xml:space="preserve">conséquences économiques et sociales. L’analyse de ces éléments de décision conduit le plus souvent à une recherche de diversification ou d’évolution des ressources (mix énergétique).  </w:t>
            </w:r>
          </w:p>
          <w:p w14:paraId="57751B1A" w14:textId="77777777" w:rsidR="00C90EBF" w:rsidRDefault="00C90EBF" w:rsidP="00C90EBF">
            <w:pPr>
              <w:spacing w:after="241" w:line="275" w:lineRule="auto"/>
              <w:ind w:right="50"/>
            </w:pPr>
            <w:r>
              <w:rPr>
                <w:sz w:val="22"/>
              </w:rPr>
              <w:t xml:space="preserve">Les durées longues, liées à l’inertie de certains systèmes (infrastructures énergétiques, transports, production industrielle), sont à confronter à l’urgence de l’action.  </w:t>
            </w:r>
          </w:p>
          <w:p w14:paraId="754DA17E" w14:textId="429D88F7" w:rsidR="00C90EBF" w:rsidRPr="00FB4468" w:rsidRDefault="00C90EBF" w:rsidP="00C90EBF">
            <w:pPr>
              <w:rPr>
                <w:rFonts w:ascii="Arial" w:hAnsi="Arial" w:cs="Arial"/>
              </w:rPr>
            </w:pPr>
            <w:r>
              <w:rPr>
                <w:sz w:val="22"/>
              </w:rPr>
              <w:t xml:space="preserve">La transition écologique des sociétés repose sur la créativité scientifique et technologique, comme sur l’invention de nouveaux comportements individuels et collectifs (consommations, déplacements, relations Nord-Sud).  </w:t>
            </w:r>
          </w:p>
        </w:tc>
        <w:tc>
          <w:tcPr>
            <w:tcW w:w="2987" w:type="dxa"/>
          </w:tcPr>
          <w:p w14:paraId="309C4160" w14:textId="77777777" w:rsidR="00C90EBF" w:rsidRDefault="00C90EBF" w:rsidP="00C90EBF">
            <w:pPr>
              <w:spacing w:after="238" w:line="276" w:lineRule="auto"/>
              <w:ind w:left="1"/>
            </w:pPr>
            <w:r>
              <w:rPr>
                <w:sz w:val="22"/>
              </w:rPr>
              <w:lastRenderedPageBreak/>
              <w:t xml:space="preserve">Analyser d’un point de vue global les impacts de choix énergétiques majeurs : exemple du nucléaire. </w:t>
            </w:r>
          </w:p>
          <w:p w14:paraId="7584CAF3" w14:textId="77777777" w:rsidR="00C90EBF" w:rsidRDefault="00C90EBF" w:rsidP="00C90EBF">
            <w:pPr>
              <w:spacing w:after="259" w:line="259" w:lineRule="auto"/>
              <w:ind w:left="1"/>
            </w:pPr>
            <w:r>
              <w:rPr>
                <w:b/>
                <w:i/>
                <w:color w:val="92D050"/>
                <w:sz w:val="22"/>
              </w:rPr>
              <w:t xml:space="preserve"> </w:t>
            </w:r>
          </w:p>
          <w:p w14:paraId="026ACCA2" w14:textId="77777777" w:rsidR="00C90EBF" w:rsidRDefault="00C90EBF" w:rsidP="00C90EBF">
            <w:pPr>
              <w:spacing w:after="19" w:line="259" w:lineRule="auto"/>
              <w:ind w:left="1"/>
            </w:pPr>
            <w:r>
              <w:rPr>
                <w:b/>
                <w:i/>
                <w:color w:val="92D050"/>
                <w:sz w:val="22"/>
              </w:rPr>
              <w:t xml:space="preserve"> </w:t>
            </w:r>
          </w:p>
          <w:p w14:paraId="3E395370" w14:textId="56391C2C" w:rsidR="00C90EBF" w:rsidRPr="00FB4468" w:rsidRDefault="00C90EBF" w:rsidP="00C90EBF">
            <w:pPr>
              <w:rPr>
                <w:rFonts w:ascii="Arial" w:hAnsi="Arial" w:cs="Arial"/>
              </w:rPr>
            </w:pPr>
            <w:r>
              <w:rPr>
                <w:sz w:val="22"/>
              </w:rPr>
              <w:t xml:space="preserve">Dans une étude de cas, analyser des choix énergétiques locaux selon les critères et les paramètres mentionnés. </w:t>
            </w:r>
            <w:r>
              <w:rPr>
                <w:color w:val="92D050"/>
                <w:sz w:val="22"/>
              </w:rPr>
              <w:t xml:space="preserve"> </w:t>
            </w:r>
          </w:p>
        </w:tc>
        <w:tc>
          <w:tcPr>
            <w:tcW w:w="2830" w:type="dxa"/>
            <w:tcBorders>
              <w:top w:val="single" w:sz="4" w:space="0" w:color="auto"/>
              <w:bottom w:val="single" w:sz="4" w:space="0" w:color="auto"/>
            </w:tcBorders>
            <w:shd w:val="clear" w:color="auto" w:fill="BDD6EE" w:themeFill="accent5" w:themeFillTint="66"/>
          </w:tcPr>
          <w:p w14:paraId="3842C27C" w14:textId="77777777" w:rsidR="00C90EBF" w:rsidRDefault="00C90EBF" w:rsidP="00C90EBF"/>
        </w:tc>
        <w:tc>
          <w:tcPr>
            <w:tcW w:w="2405" w:type="dxa"/>
          </w:tcPr>
          <w:p w14:paraId="742BDDDE" w14:textId="77777777" w:rsidR="00C90EBF" w:rsidRDefault="00C90EBF" w:rsidP="00C90EBF"/>
        </w:tc>
        <w:tc>
          <w:tcPr>
            <w:tcW w:w="2977" w:type="dxa"/>
          </w:tcPr>
          <w:p w14:paraId="51EB9126" w14:textId="77777777" w:rsidR="00C90EBF" w:rsidRDefault="00C90EBF" w:rsidP="00C90EBF"/>
        </w:tc>
      </w:tr>
      <w:tr w:rsidR="00C90EBF" w14:paraId="12B288B6" w14:textId="77777777" w:rsidTr="681B9274">
        <w:tc>
          <w:tcPr>
            <w:tcW w:w="14601" w:type="dxa"/>
            <w:gridSpan w:val="5"/>
          </w:tcPr>
          <w:p w14:paraId="7CF49B73" w14:textId="77777777" w:rsidR="00BA4470" w:rsidRDefault="00BA4470" w:rsidP="00BA4470">
            <w:pPr>
              <w:spacing w:after="118" w:line="259" w:lineRule="auto"/>
            </w:pPr>
            <w:r>
              <w:rPr>
                <w:b/>
                <w:color w:val="007F9F"/>
              </w:rPr>
              <w:t xml:space="preserve">Prérequis et limites </w:t>
            </w:r>
          </w:p>
          <w:p w14:paraId="0B6A93BE" w14:textId="560F327C" w:rsidR="00C90EBF" w:rsidRDefault="00BA4470" w:rsidP="00C90EBF">
            <w:r>
              <w:rPr>
                <w:sz w:val="22"/>
              </w:rPr>
              <w:t>Ce sous-thème est l’occasion de mettre en perspective l’ensemble des thématiques abordées dans les thèmes 1 et 2. La notion de risques naturels étudiée au collège et en classe de seconde (SVT) est mobilisée. À travers la diversité des exemples, les élèves comprennent l’unité du concept d’énergie</w:t>
            </w:r>
          </w:p>
        </w:tc>
      </w:tr>
    </w:tbl>
    <w:p w14:paraId="5B6F1BAE" w14:textId="5085BB00" w:rsidR="003D64B8" w:rsidRDefault="003D64B8" w:rsidP="003D64B8">
      <w:pPr>
        <w:tabs>
          <w:tab w:val="left" w:pos="1216"/>
        </w:tabs>
      </w:pPr>
    </w:p>
    <w:p w14:paraId="4782F059" w14:textId="77777777" w:rsidR="003D64B8" w:rsidRDefault="003D64B8" w:rsidP="003D64B8">
      <w:pPr>
        <w:tabs>
          <w:tab w:val="left" w:pos="1216"/>
        </w:tabs>
      </w:pPr>
    </w:p>
    <w:tbl>
      <w:tblPr>
        <w:tblStyle w:val="Grilledutableau"/>
        <w:tblW w:w="14601" w:type="dxa"/>
        <w:tblInd w:w="-572" w:type="dxa"/>
        <w:tblLook w:val="04A0" w:firstRow="1" w:lastRow="0" w:firstColumn="1" w:lastColumn="0" w:noHBand="0" w:noVBand="1"/>
      </w:tblPr>
      <w:tblGrid>
        <w:gridCol w:w="3402"/>
        <w:gridCol w:w="2987"/>
        <w:gridCol w:w="2830"/>
        <w:gridCol w:w="2405"/>
        <w:gridCol w:w="2977"/>
      </w:tblGrid>
      <w:tr w:rsidR="00DD6998" w14:paraId="646E4151" w14:textId="77777777" w:rsidTr="7C9A0712">
        <w:tc>
          <w:tcPr>
            <w:tcW w:w="14601" w:type="dxa"/>
            <w:gridSpan w:val="5"/>
            <w:shd w:val="clear" w:color="auto" w:fill="297C8D"/>
          </w:tcPr>
          <w:p w14:paraId="209738E4" w14:textId="6C1B58AE" w:rsidR="00DD6998" w:rsidRDefault="00BA4470" w:rsidP="004446EF">
            <w:r>
              <w:rPr>
                <w:rFonts w:ascii="Arial" w:hAnsi="Arial" w:cs="Arial"/>
                <w:b/>
                <w:bCs/>
                <w:color w:val="FFFFFF" w:themeColor="background1"/>
                <w:spacing w:val="-1"/>
                <w:w w:val="105"/>
                <w:sz w:val="22"/>
                <w:szCs w:val="22"/>
              </w:rPr>
              <w:t>3- Une histoire du vivant</w:t>
            </w:r>
          </w:p>
        </w:tc>
      </w:tr>
      <w:tr w:rsidR="00DD6998" w:rsidRPr="00665303" w14:paraId="6B15940B" w14:textId="77777777" w:rsidTr="7C9A0712">
        <w:tc>
          <w:tcPr>
            <w:tcW w:w="14601" w:type="dxa"/>
            <w:gridSpan w:val="5"/>
          </w:tcPr>
          <w:p w14:paraId="2161DBF5" w14:textId="77777777" w:rsidR="00BA4470" w:rsidRDefault="00BA4470" w:rsidP="00BA4470">
            <w:pPr>
              <w:spacing w:after="241" w:line="239" w:lineRule="auto"/>
              <w:ind w:right="49"/>
            </w:pPr>
            <w:r>
              <w:rPr>
                <w:i/>
                <w:sz w:val="22"/>
              </w:rPr>
              <w:t xml:space="preserve">La Terre est habitée par une grande diversité d’êtres vivants. Cette biodiversité est dynamique et issue d’une longue histoire dont l’espèce humaine fait partie. L’évolution constitue un puissant outil de compréhension du monde vivant. Les activités humaines se sont transformées au cours de cette histoire, certaines inventions et découvertes scientifiques ont contribué à l’essor de notre espèce.  </w:t>
            </w:r>
          </w:p>
          <w:p w14:paraId="4240064B" w14:textId="77777777" w:rsidR="00BA4470" w:rsidRDefault="00BA4470" w:rsidP="00BA4470">
            <w:pPr>
              <w:spacing w:after="240" w:line="239" w:lineRule="auto"/>
              <w:ind w:right="49"/>
            </w:pPr>
            <w:r>
              <w:rPr>
                <w:i/>
                <w:sz w:val="22"/>
              </w:rPr>
              <w:t xml:space="preserve">Les mathématiques permettent de modéliser la dynamique des systèmes vivants afin de décrire leur évolution. La démarche de modélisation mathématique comporte plusieurs étapes : identification du type de modèle le mieux adapté pour traduire la réalité, détermination des paramètres du modèle, confrontation des </w:t>
            </w:r>
            <w:r>
              <w:rPr>
                <w:i/>
                <w:sz w:val="22"/>
              </w:rPr>
              <w:lastRenderedPageBreak/>
              <w:t xml:space="preserve">résultats du modèle à des observations, qui peut conduire à limiter son domaine de validité ou à le modifier.  </w:t>
            </w:r>
          </w:p>
          <w:p w14:paraId="2D3E3F3E" w14:textId="77777777" w:rsidR="00BA4470" w:rsidRDefault="00BA4470" w:rsidP="00BA4470">
            <w:pPr>
              <w:spacing w:after="234" w:line="238" w:lineRule="auto"/>
              <w:ind w:right="50"/>
            </w:pPr>
            <w:r>
              <w:rPr>
                <w:i/>
                <w:sz w:val="22"/>
              </w:rPr>
              <w:t xml:space="preserve">L’être humain a construit des machines pour traiter l’information et a créé des langages pour les commander. Avec les méthodes de l’intelligence artificielle, il continue d’étendre les capacités de traitement de données et les domaines d’application de l’informatique. </w:t>
            </w:r>
          </w:p>
          <w:p w14:paraId="74CCACFE" w14:textId="77777777" w:rsidR="00DD6998" w:rsidRPr="00665303" w:rsidRDefault="00DD6998" w:rsidP="004446EF">
            <w:pPr>
              <w:pStyle w:val="Default"/>
              <w:rPr>
                <w:sz w:val="22"/>
                <w:szCs w:val="22"/>
              </w:rPr>
            </w:pPr>
          </w:p>
        </w:tc>
      </w:tr>
      <w:tr w:rsidR="00DD6998" w14:paraId="0543B1B3" w14:textId="77777777" w:rsidTr="7C9A0712">
        <w:tc>
          <w:tcPr>
            <w:tcW w:w="14601" w:type="dxa"/>
            <w:gridSpan w:val="5"/>
          </w:tcPr>
          <w:p w14:paraId="2ED9A2E7" w14:textId="77777777" w:rsidR="00BA4470" w:rsidRDefault="00DD6998" w:rsidP="00BA4470">
            <w:pPr>
              <w:spacing w:after="83" w:line="259" w:lineRule="auto"/>
            </w:pPr>
            <w:r w:rsidRPr="003D64B8">
              <w:rPr>
                <w:rFonts w:ascii="Arial" w:hAnsi="Arial" w:cs="Arial"/>
                <w:sz w:val="22"/>
                <w:szCs w:val="22"/>
              </w:rPr>
              <w:lastRenderedPageBreak/>
              <w:t xml:space="preserve"> </w:t>
            </w:r>
            <w:r w:rsidR="00BA4470">
              <w:rPr>
                <w:b/>
                <w:color w:val="007F9F"/>
              </w:rPr>
              <w:t xml:space="preserve">Histoire, enjeux et débats </w:t>
            </w:r>
          </w:p>
          <w:p w14:paraId="6E4B3D60" w14:textId="77777777" w:rsidR="00BA4470" w:rsidRDefault="00BA4470" w:rsidP="00BA4470">
            <w:pPr>
              <w:widowControl/>
              <w:numPr>
                <w:ilvl w:val="0"/>
                <w:numId w:val="16"/>
              </w:numPr>
              <w:kinsoku/>
              <w:spacing w:after="9" w:line="259" w:lineRule="auto"/>
              <w:ind w:hanging="360"/>
              <w:jc w:val="both"/>
            </w:pPr>
            <w:r>
              <w:rPr>
                <w:sz w:val="22"/>
              </w:rPr>
              <w:t xml:space="preserve">Histoire de l’évolution humaine et découverte de fossiles par les paléontologues. </w:t>
            </w:r>
          </w:p>
          <w:p w14:paraId="577E7453" w14:textId="77777777" w:rsidR="00BA4470" w:rsidRDefault="00BA4470" w:rsidP="00BA4470">
            <w:pPr>
              <w:widowControl/>
              <w:numPr>
                <w:ilvl w:val="0"/>
                <w:numId w:val="16"/>
              </w:numPr>
              <w:kinsoku/>
              <w:spacing w:after="7" w:line="259" w:lineRule="auto"/>
              <w:ind w:hanging="360"/>
              <w:jc w:val="both"/>
            </w:pPr>
            <w:r>
              <w:rPr>
                <w:sz w:val="22"/>
              </w:rPr>
              <w:t xml:space="preserve">La théorie de l’évolution et son application dans différents champs. </w:t>
            </w:r>
          </w:p>
          <w:p w14:paraId="29417616" w14:textId="77777777" w:rsidR="00BA4470" w:rsidRDefault="00BA4470" w:rsidP="00BA4470">
            <w:pPr>
              <w:widowControl/>
              <w:numPr>
                <w:ilvl w:val="0"/>
                <w:numId w:val="16"/>
              </w:numPr>
              <w:kinsoku/>
              <w:spacing w:after="87" w:line="237" w:lineRule="auto"/>
              <w:ind w:hanging="360"/>
              <w:jc w:val="both"/>
            </w:pPr>
            <w:r>
              <w:rPr>
                <w:sz w:val="22"/>
              </w:rPr>
              <w:t xml:space="preserve">Modèles mathématiques historiques d’accroissement des populations (Malthus, Quetelet, Verhulst) et controverses autour du malthusianisme. </w:t>
            </w:r>
          </w:p>
          <w:p w14:paraId="4F5BECFA" w14:textId="77777777" w:rsidR="00BA4470" w:rsidRDefault="00BA4470" w:rsidP="00BA4470">
            <w:pPr>
              <w:widowControl/>
              <w:numPr>
                <w:ilvl w:val="0"/>
                <w:numId w:val="16"/>
              </w:numPr>
              <w:kinsoku/>
              <w:spacing w:after="17" w:line="251" w:lineRule="auto"/>
              <w:ind w:hanging="360"/>
              <w:jc w:val="both"/>
            </w:pPr>
            <w:r>
              <w:rPr>
                <w:sz w:val="22"/>
              </w:rPr>
              <w:t xml:space="preserve">Histoire de grandes avancées médicales : asepsie (Semmelweis, Pasteur), antibiothérapie (Fleming), vaccination (Jenner, Koch, Pasteur), radiologie (Röntgen), greffe, chimiothérapie, … </w:t>
            </w:r>
            <w:r>
              <w:rPr>
                <w:rFonts w:ascii="Segoe UI Symbol" w:eastAsia="Segoe UI Symbol" w:hAnsi="Segoe UI Symbol" w:cs="Segoe UI Symbol"/>
                <w:color w:val="0062AC"/>
              </w:rPr>
              <w:t></w:t>
            </w:r>
            <w:r>
              <w:rPr>
                <w:rFonts w:ascii="Arial" w:eastAsia="Arial" w:hAnsi="Arial" w:cs="Arial"/>
                <w:b/>
                <w:color w:val="0062AC"/>
              </w:rPr>
              <w:t xml:space="preserve"> </w:t>
            </w:r>
            <w:r>
              <w:rPr>
                <w:sz w:val="22"/>
              </w:rPr>
              <w:t xml:space="preserve">Biodiversité et impacts des actions humaines. </w:t>
            </w:r>
          </w:p>
          <w:p w14:paraId="149F1B80" w14:textId="77777777" w:rsidR="00BA4470" w:rsidRDefault="00BA4470" w:rsidP="00BA4470">
            <w:pPr>
              <w:widowControl/>
              <w:numPr>
                <w:ilvl w:val="0"/>
                <w:numId w:val="16"/>
              </w:numPr>
              <w:kinsoku/>
              <w:spacing w:after="87" w:line="237" w:lineRule="auto"/>
              <w:ind w:hanging="360"/>
              <w:jc w:val="both"/>
            </w:pPr>
            <w:r>
              <w:rPr>
                <w:sz w:val="22"/>
              </w:rPr>
              <w:t xml:space="preserve">Histoire du traitement de l’information : de l’invention de l’écriture aux machines programmables (Jacquard, Babbage) et aux ordinateurs (Lovelace, Turing, Von Neumann, …). </w:t>
            </w:r>
          </w:p>
          <w:p w14:paraId="36EEA776" w14:textId="77777777" w:rsidR="00BA4470" w:rsidRDefault="00BA4470" w:rsidP="00BA4470">
            <w:pPr>
              <w:widowControl/>
              <w:numPr>
                <w:ilvl w:val="0"/>
                <w:numId w:val="16"/>
              </w:numPr>
              <w:kinsoku/>
              <w:spacing w:after="2" w:line="237" w:lineRule="auto"/>
              <w:ind w:hanging="360"/>
              <w:jc w:val="both"/>
            </w:pPr>
            <w:r>
              <w:rPr>
                <w:sz w:val="22"/>
              </w:rPr>
              <w:t xml:space="preserve">Bogues (ou </w:t>
            </w:r>
            <w:r>
              <w:rPr>
                <w:i/>
                <w:sz w:val="22"/>
              </w:rPr>
              <w:t>bugs</w:t>
            </w:r>
            <w:r>
              <w:rPr>
                <w:sz w:val="22"/>
              </w:rPr>
              <w:t xml:space="preserve">) et failles de sécurité des systèmes informatiques, comme contrepartie parfois graves de leur flexibilité. </w:t>
            </w:r>
          </w:p>
          <w:p w14:paraId="35DD48EE" w14:textId="77777777" w:rsidR="00DD6998" w:rsidRPr="003D64B8" w:rsidRDefault="00DD6998" w:rsidP="004446EF">
            <w:pPr>
              <w:rPr>
                <w:rFonts w:ascii="Arial" w:hAnsi="Arial" w:cs="Arial"/>
              </w:rPr>
            </w:pPr>
          </w:p>
        </w:tc>
      </w:tr>
      <w:tr w:rsidR="00DD6998" w14:paraId="5C094FB4" w14:textId="77777777" w:rsidTr="7C9A0712">
        <w:tc>
          <w:tcPr>
            <w:tcW w:w="14601" w:type="dxa"/>
            <w:gridSpan w:val="5"/>
          </w:tcPr>
          <w:p w14:paraId="564C36E1" w14:textId="77777777" w:rsidR="00BA4470" w:rsidRDefault="00BA4470" w:rsidP="00BA4470">
            <w:pPr>
              <w:spacing w:after="120" w:line="259" w:lineRule="auto"/>
            </w:pPr>
            <w:r>
              <w:rPr>
                <w:b/>
                <w:color w:val="007F9F"/>
              </w:rPr>
              <w:t>3.1 La biodiversité et son évolution</w:t>
            </w:r>
            <w:r>
              <w:rPr>
                <w:b/>
              </w:rPr>
              <w:t xml:space="preserve"> </w:t>
            </w:r>
          </w:p>
          <w:p w14:paraId="006C7676" w14:textId="380B071D" w:rsidR="00DD6998" w:rsidRPr="003D64B8" w:rsidRDefault="00BA4470" w:rsidP="00BA4470">
            <w:pPr>
              <w:rPr>
                <w:rFonts w:ascii="Arial" w:hAnsi="Arial" w:cs="Arial"/>
              </w:rPr>
            </w:pPr>
            <w:r>
              <w:rPr>
                <w:i/>
                <w:sz w:val="22"/>
              </w:rPr>
              <w:t>Évaluer la biodiversité à différentes échelles spatiales et temporelles représente un enjeu majeur pour comprendre sa dynamique et les conséquences des actions humaines. Les populations évoluent au cours du temps. Des modèles mathématiques probabilistes et des outils statistiques permettent d’étudier les mécanismes évolutifs impliqués</w:t>
            </w:r>
            <w:r w:rsidRPr="003D64B8">
              <w:rPr>
                <w:rFonts w:ascii="Arial" w:hAnsi="Arial" w:cs="Arial"/>
              </w:rPr>
              <w:t xml:space="preserve"> </w:t>
            </w:r>
          </w:p>
        </w:tc>
      </w:tr>
      <w:tr w:rsidR="00DD6998" w:rsidRPr="007F4857" w14:paraId="320B220E" w14:textId="77777777" w:rsidTr="7C9A0712">
        <w:tc>
          <w:tcPr>
            <w:tcW w:w="3402" w:type="dxa"/>
            <w:tcBorders>
              <w:top w:val="single" w:sz="4" w:space="0" w:color="auto"/>
              <w:left w:val="single" w:sz="4" w:space="0" w:color="auto"/>
              <w:bottom w:val="single" w:sz="4" w:space="0" w:color="auto"/>
              <w:right w:val="single" w:sz="4" w:space="0" w:color="auto"/>
            </w:tcBorders>
            <w:vAlign w:val="center"/>
          </w:tcPr>
          <w:p w14:paraId="6C438721" w14:textId="77777777" w:rsidR="00DD6998" w:rsidRDefault="00DD6998" w:rsidP="004446EF">
            <w:r>
              <w:rPr>
                <w:rFonts w:ascii="Arial" w:hAnsi="Arial" w:cs="Arial"/>
                <w:b/>
                <w:bCs/>
                <w:sz w:val="22"/>
                <w:szCs w:val="22"/>
              </w:rPr>
              <w:t>Savoirs</w:t>
            </w:r>
          </w:p>
        </w:tc>
        <w:tc>
          <w:tcPr>
            <w:tcW w:w="2987" w:type="dxa"/>
            <w:tcBorders>
              <w:top w:val="single" w:sz="4" w:space="0" w:color="auto"/>
              <w:left w:val="single" w:sz="4" w:space="0" w:color="auto"/>
              <w:bottom w:val="single" w:sz="4" w:space="0" w:color="auto"/>
              <w:right w:val="single" w:sz="4" w:space="0" w:color="auto"/>
            </w:tcBorders>
            <w:vAlign w:val="center"/>
          </w:tcPr>
          <w:p w14:paraId="75A3E104" w14:textId="77777777" w:rsidR="00DD6998" w:rsidRDefault="00DD6998" w:rsidP="004446EF">
            <w:r>
              <w:rPr>
                <w:rFonts w:ascii="Arial" w:hAnsi="Arial" w:cs="Arial"/>
                <w:b/>
                <w:bCs/>
                <w:sz w:val="22"/>
                <w:szCs w:val="22"/>
              </w:rPr>
              <w:t>Savoir-faire</w:t>
            </w:r>
          </w:p>
        </w:tc>
        <w:tc>
          <w:tcPr>
            <w:tcW w:w="2830" w:type="dxa"/>
            <w:shd w:val="clear" w:color="auto" w:fill="BDD6EE" w:themeFill="accent5" w:themeFillTint="66"/>
          </w:tcPr>
          <w:p w14:paraId="2AFC432D" w14:textId="77777777" w:rsidR="00DD6998" w:rsidRDefault="00DD6998" w:rsidP="004446EF">
            <w:r>
              <w:rPr>
                <w:rFonts w:asciiTheme="minorHAnsi" w:hAnsiTheme="minorHAnsi" w:cstheme="minorHAnsi"/>
                <w:b/>
              </w:rPr>
              <w:t>Capacités exigibles de remobilisables</w:t>
            </w:r>
          </w:p>
        </w:tc>
        <w:tc>
          <w:tcPr>
            <w:tcW w:w="2405" w:type="dxa"/>
          </w:tcPr>
          <w:p w14:paraId="2AA9DE68" w14:textId="77777777" w:rsidR="00DD6998" w:rsidRDefault="00DD6998" w:rsidP="004446EF">
            <w:r w:rsidRPr="000C5D32">
              <w:rPr>
                <w:rFonts w:asciiTheme="minorHAnsi" w:hAnsiTheme="minorHAnsi" w:cstheme="minorHAnsi"/>
                <w:b/>
              </w:rPr>
              <w:t>S</w:t>
            </w:r>
            <w:r>
              <w:rPr>
                <w:rFonts w:asciiTheme="minorHAnsi" w:hAnsiTheme="minorHAnsi" w:cstheme="minorHAnsi"/>
                <w:b/>
              </w:rPr>
              <w:t>aut conceptuel en terminale</w:t>
            </w:r>
          </w:p>
        </w:tc>
        <w:tc>
          <w:tcPr>
            <w:tcW w:w="2977" w:type="dxa"/>
          </w:tcPr>
          <w:p w14:paraId="51C5F314" w14:textId="77777777" w:rsidR="00DD6998" w:rsidRPr="007F4857" w:rsidRDefault="00DD6998" w:rsidP="004446EF">
            <w:pPr>
              <w:rPr>
                <w:rFonts w:asciiTheme="minorHAnsi" w:hAnsiTheme="minorHAnsi" w:cstheme="minorHAnsi"/>
                <w:b/>
              </w:rPr>
            </w:pPr>
            <w:r w:rsidRPr="007F4857">
              <w:rPr>
                <w:rFonts w:asciiTheme="minorHAnsi" w:hAnsiTheme="minorHAnsi" w:cstheme="minorHAnsi"/>
                <w:b/>
              </w:rPr>
              <w:t>Liens avec les programmes de spécialité</w:t>
            </w:r>
          </w:p>
        </w:tc>
      </w:tr>
      <w:tr w:rsidR="00BA4470" w14:paraId="6A7A8BFD" w14:textId="77777777" w:rsidTr="7C9A0712">
        <w:tc>
          <w:tcPr>
            <w:tcW w:w="3402" w:type="dxa"/>
            <w:vAlign w:val="center"/>
          </w:tcPr>
          <w:p w14:paraId="1766A2E0" w14:textId="77777777" w:rsidR="00BA4470" w:rsidRDefault="00BA4470" w:rsidP="00BA4470">
            <w:pPr>
              <w:spacing w:after="118" w:line="275" w:lineRule="auto"/>
              <w:ind w:right="49"/>
            </w:pPr>
            <w:r>
              <w:rPr>
                <w:sz w:val="22"/>
              </w:rPr>
              <w:t xml:space="preserve">Il existe sur Terre un grand nombre d’espèces dont seule une faible proportion est effectivement connue. La biodiversité se mesure par des techniques d’échantillonnage (spécimens ou ADN) qui permettent d’estimer le nombre d’espèces (richesse </w:t>
            </w:r>
            <w:r>
              <w:rPr>
                <w:sz w:val="22"/>
              </w:rPr>
              <w:lastRenderedPageBreak/>
              <w:t xml:space="preserve">spécifique) dans différents milieux. Les composantes de la biodiversité peuvent aussi être décrites par l’abondance (nombre d’individus) d’une population, d’une espèce ou d’un plus grand taxon.  </w:t>
            </w:r>
          </w:p>
          <w:p w14:paraId="578329A4" w14:textId="77777777" w:rsidR="00BA4470" w:rsidRDefault="00BA4470" w:rsidP="00BA4470">
            <w:pPr>
              <w:spacing w:after="120" w:line="276" w:lineRule="auto"/>
            </w:pPr>
            <w:r>
              <w:rPr>
                <w:sz w:val="22"/>
              </w:rPr>
              <w:t xml:space="preserve">Il existe plusieurs méthodes permettant d’estimer un effectif à partir d’échantillons.  </w:t>
            </w:r>
          </w:p>
          <w:p w14:paraId="5DE1503E" w14:textId="77777777" w:rsidR="00BA4470" w:rsidRDefault="00BA4470" w:rsidP="00BA4470">
            <w:pPr>
              <w:spacing w:after="121" w:line="275" w:lineRule="auto"/>
              <w:ind w:right="51"/>
            </w:pPr>
            <w:r>
              <w:rPr>
                <w:sz w:val="22"/>
              </w:rPr>
              <w:t xml:space="preserve">Une estimation ponctuelle d’un effectif par la méthode dite de capture, marquage, recapture repose sur le principe de proportionnalité. </w:t>
            </w:r>
          </w:p>
          <w:p w14:paraId="70263A1E" w14:textId="27D0484C" w:rsidR="00BA4470" w:rsidRDefault="00BA4470" w:rsidP="00BA4470">
            <w:r>
              <w:rPr>
                <w:sz w:val="22"/>
              </w:rPr>
              <w:t xml:space="preserve">À partir d’un seul échantillon, la proportion d’une population portant un caractère donné peut également être estimée à l’aide d’un intervalle de confiance. Une telle estimation est toujours assortie d’un niveau de confiance strictement inférieur à 100 % en raison de la fluctuation des échantillons. Pour un niveau de confiance donné, l’estimation est d’autant plus précise que la taille de l’échantillon est grande. </w:t>
            </w:r>
          </w:p>
        </w:tc>
        <w:tc>
          <w:tcPr>
            <w:tcW w:w="2987" w:type="dxa"/>
            <w:vAlign w:val="bottom"/>
          </w:tcPr>
          <w:p w14:paraId="468359CF" w14:textId="77777777" w:rsidR="00BA4470" w:rsidRDefault="00BA4470" w:rsidP="00BA4470">
            <w:pPr>
              <w:spacing w:after="121" w:line="275" w:lineRule="auto"/>
              <w:ind w:left="1" w:right="49"/>
            </w:pPr>
            <w:r>
              <w:rPr>
                <w:sz w:val="22"/>
              </w:rPr>
              <w:lastRenderedPageBreak/>
              <w:t xml:space="preserve">Exploiter des données obtenues au cours d’une sortie de terrain ou d’explorations scientifiques (historiques et/ou actuelles) pour estimer la biodiversité (richesse spécifique et/ou abondance </w:t>
            </w:r>
            <w:r>
              <w:rPr>
                <w:sz w:val="22"/>
              </w:rPr>
              <w:lastRenderedPageBreak/>
              <w:t xml:space="preserve">relative de chaque taxon). </w:t>
            </w:r>
          </w:p>
          <w:p w14:paraId="38193F6E" w14:textId="77777777" w:rsidR="00BA4470" w:rsidRDefault="00BA4470" w:rsidP="00BA4470">
            <w:pPr>
              <w:spacing w:after="139" w:line="259" w:lineRule="auto"/>
              <w:ind w:left="1"/>
            </w:pPr>
            <w:r>
              <w:rPr>
                <w:sz w:val="22"/>
              </w:rPr>
              <w:t xml:space="preserve"> </w:t>
            </w:r>
          </w:p>
          <w:p w14:paraId="3BA321A6" w14:textId="77777777" w:rsidR="00BA4470" w:rsidRDefault="00BA4470" w:rsidP="00BA4470">
            <w:pPr>
              <w:spacing w:after="122" w:line="274" w:lineRule="auto"/>
              <w:ind w:left="1"/>
            </w:pPr>
            <w:r>
              <w:rPr>
                <w:sz w:val="22"/>
              </w:rPr>
              <w:t xml:space="preserve">Quantifier l’effectif d’une population ou d’un taxon plus vaste à partir de résultats d’échantillonnage. </w:t>
            </w:r>
          </w:p>
          <w:p w14:paraId="7C4EAA1A" w14:textId="77777777" w:rsidR="00BA4470" w:rsidRDefault="00BA4470" w:rsidP="00BA4470">
            <w:pPr>
              <w:spacing w:after="139" w:line="259" w:lineRule="auto"/>
              <w:ind w:left="1"/>
            </w:pPr>
            <w:r>
              <w:rPr>
                <w:sz w:val="22"/>
              </w:rPr>
              <w:t xml:space="preserve"> Estimer une abondance par la méthode de capture, marquage, recapture, fondée sur le calcul d’une quatrième proportionnelle. </w:t>
            </w:r>
          </w:p>
          <w:p w14:paraId="70E0AE9D" w14:textId="77777777" w:rsidR="00BA4470" w:rsidRDefault="00BA4470" w:rsidP="00BA4470">
            <w:pPr>
              <w:spacing w:after="121" w:line="275" w:lineRule="auto"/>
              <w:ind w:left="1" w:right="50"/>
            </w:pPr>
            <w:r>
              <w:rPr>
                <w:sz w:val="22"/>
              </w:rPr>
              <w:t xml:space="preserve">À l’aide d’un tableur, simuler des échantillons d’un tirage aléatoire à deux issues (vérifier ou non la présence d’un caractère donné) pour visualiser la fluctuation des fréquences d’apparition du caractère. </w:t>
            </w:r>
          </w:p>
          <w:p w14:paraId="0590723C" w14:textId="7697B0F2" w:rsidR="00BA4470" w:rsidRDefault="00BA4470" w:rsidP="00BA4470">
            <w:r>
              <w:rPr>
                <w:sz w:val="22"/>
              </w:rPr>
              <w:t xml:space="preserve">À partir d’un échantillon, estimer, en utilisant une formule donnée, la proportion d’individus possédant le caractère dans la population globale par un intervalle de confiance au niveau de confiance de 95 %. </w:t>
            </w:r>
          </w:p>
        </w:tc>
        <w:tc>
          <w:tcPr>
            <w:tcW w:w="2830" w:type="dxa"/>
            <w:vMerge w:val="restart"/>
            <w:shd w:val="clear" w:color="auto" w:fill="BDD6EE" w:themeFill="accent5" w:themeFillTint="66"/>
          </w:tcPr>
          <w:p w14:paraId="117B197A" w14:textId="77777777" w:rsidR="00BA4470" w:rsidRPr="003D5958" w:rsidRDefault="00BA4470" w:rsidP="00BA4470">
            <w:pPr>
              <w:rPr>
                <w:rFonts w:ascii="Cambria" w:hAnsi="Cambria"/>
                <w:b/>
                <w:sz w:val="22"/>
                <w:szCs w:val="22"/>
              </w:rPr>
            </w:pPr>
            <w:r w:rsidRPr="003D5958">
              <w:rPr>
                <w:rFonts w:ascii="Cambria" w:hAnsi="Cambria"/>
                <w:b/>
                <w:sz w:val="22"/>
                <w:szCs w:val="22"/>
              </w:rPr>
              <w:lastRenderedPageBreak/>
              <w:t>Physique-chimie :</w:t>
            </w:r>
          </w:p>
          <w:p w14:paraId="18FCA161" w14:textId="6A89DA1F" w:rsidR="00BA4470" w:rsidRPr="00850F0D" w:rsidRDefault="00BA4470" w:rsidP="681B9274">
            <w:pPr>
              <w:pStyle w:val="Default"/>
              <w:rPr>
                <w:b/>
                <w:bCs/>
              </w:rPr>
            </w:pPr>
          </w:p>
          <w:p w14:paraId="075C4A82" w14:textId="11561402" w:rsidR="00BA4470" w:rsidRPr="00850F0D" w:rsidRDefault="00BA4470" w:rsidP="681B9274">
            <w:pPr>
              <w:pStyle w:val="Default"/>
              <w:rPr>
                <w:b/>
                <w:bCs/>
              </w:rPr>
            </w:pPr>
          </w:p>
          <w:p w14:paraId="3FECBCEB" w14:textId="42297F47" w:rsidR="00BA4470" w:rsidRPr="00850F0D" w:rsidRDefault="00BA4470" w:rsidP="681B9274">
            <w:pPr>
              <w:pStyle w:val="Default"/>
              <w:rPr>
                <w:b/>
                <w:bCs/>
              </w:rPr>
            </w:pPr>
          </w:p>
          <w:p w14:paraId="2D98E212" w14:textId="6EF2579D" w:rsidR="00BA4470" w:rsidRPr="00850F0D" w:rsidRDefault="00BA4470" w:rsidP="681B9274">
            <w:pPr>
              <w:pStyle w:val="Default"/>
              <w:rPr>
                <w:b/>
                <w:bCs/>
              </w:rPr>
            </w:pPr>
          </w:p>
          <w:p w14:paraId="294D812D" w14:textId="45B756B2" w:rsidR="00BA4470" w:rsidRPr="00850F0D" w:rsidRDefault="00BA4470" w:rsidP="681B9274">
            <w:pPr>
              <w:pStyle w:val="Default"/>
              <w:rPr>
                <w:b/>
                <w:bCs/>
              </w:rPr>
            </w:pPr>
          </w:p>
          <w:p w14:paraId="6520BC64" w14:textId="4A50CAC4" w:rsidR="00BA4470" w:rsidRPr="00850F0D" w:rsidRDefault="00BA4470" w:rsidP="681B9274">
            <w:pPr>
              <w:pStyle w:val="Default"/>
              <w:rPr>
                <w:b/>
                <w:bCs/>
              </w:rPr>
            </w:pPr>
          </w:p>
          <w:p w14:paraId="5E56465B" w14:textId="58E36116" w:rsidR="00BA4470" w:rsidRPr="00850F0D" w:rsidRDefault="00BA4470" w:rsidP="681B9274">
            <w:pPr>
              <w:pStyle w:val="Default"/>
              <w:rPr>
                <w:b/>
                <w:bCs/>
              </w:rPr>
            </w:pPr>
          </w:p>
          <w:p w14:paraId="7E298287" w14:textId="5FE0862D" w:rsidR="00BA4470" w:rsidRPr="00850F0D" w:rsidRDefault="00BA4470" w:rsidP="681B9274">
            <w:pPr>
              <w:pStyle w:val="Default"/>
              <w:rPr>
                <w:b/>
                <w:bCs/>
              </w:rPr>
            </w:pPr>
          </w:p>
          <w:p w14:paraId="4BAA83F9" w14:textId="092B3533" w:rsidR="00BA4470" w:rsidRPr="00850F0D" w:rsidRDefault="00BA4470" w:rsidP="681B9274">
            <w:pPr>
              <w:pStyle w:val="Default"/>
              <w:rPr>
                <w:b/>
                <w:bCs/>
              </w:rPr>
            </w:pPr>
          </w:p>
          <w:p w14:paraId="548DB813" w14:textId="5629DB63" w:rsidR="00BA4470" w:rsidRPr="00850F0D" w:rsidRDefault="00BA4470" w:rsidP="681B9274">
            <w:pPr>
              <w:pStyle w:val="Default"/>
              <w:rPr>
                <w:b/>
                <w:bCs/>
              </w:rPr>
            </w:pPr>
          </w:p>
          <w:p w14:paraId="2250E494" w14:textId="6D7E4B48" w:rsidR="00BA4470" w:rsidRPr="00850F0D" w:rsidRDefault="00BA4470" w:rsidP="681B9274">
            <w:pPr>
              <w:pStyle w:val="Default"/>
              <w:rPr>
                <w:b/>
                <w:bCs/>
              </w:rPr>
            </w:pPr>
          </w:p>
          <w:p w14:paraId="7EBA45D6" w14:textId="26F7BF3B" w:rsidR="00BA4470" w:rsidRPr="00850F0D" w:rsidRDefault="00BA4470" w:rsidP="681B9274">
            <w:pPr>
              <w:pStyle w:val="Default"/>
              <w:rPr>
                <w:b/>
                <w:bCs/>
              </w:rPr>
            </w:pPr>
          </w:p>
          <w:p w14:paraId="2CD38F4F" w14:textId="7701267D" w:rsidR="00BA4470" w:rsidRPr="00850F0D" w:rsidRDefault="00BA4470" w:rsidP="681B9274">
            <w:pPr>
              <w:pStyle w:val="Default"/>
              <w:rPr>
                <w:b/>
                <w:bCs/>
              </w:rPr>
            </w:pPr>
          </w:p>
          <w:p w14:paraId="28F10D6E" w14:textId="6D05B672" w:rsidR="00BA4470" w:rsidRPr="00850F0D" w:rsidRDefault="00BA4470" w:rsidP="681B9274">
            <w:pPr>
              <w:pStyle w:val="Default"/>
              <w:rPr>
                <w:b/>
                <w:bCs/>
              </w:rPr>
            </w:pPr>
          </w:p>
          <w:p w14:paraId="5D7EC640" w14:textId="76E17594" w:rsidR="00BA4470" w:rsidRPr="00850F0D" w:rsidRDefault="681B9274" w:rsidP="681B9274">
            <w:pPr>
              <w:pStyle w:val="Default"/>
              <w:rPr>
                <w:b/>
                <w:bCs/>
                <w:color w:val="0070C0"/>
              </w:rPr>
            </w:pPr>
            <w:r w:rsidRPr="681B9274">
              <w:rPr>
                <w:color w:val="0070C0"/>
              </w:rPr>
              <w:t>Les calculs de 4ème proportionnelle sont régulièrement réinvestis depuis la classe de 2nde.</w:t>
            </w:r>
          </w:p>
          <w:p w14:paraId="5F940ED2" w14:textId="7FF1D2DE" w:rsidR="00BA4470" w:rsidRPr="00850F0D" w:rsidRDefault="00BA4470" w:rsidP="681B9274">
            <w:pPr>
              <w:pStyle w:val="Default"/>
              <w:rPr>
                <w:color w:val="0070C0"/>
              </w:rPr>
            </w:pPr>
          </w:p>
          <w:p w14:paraId="26D36118" w14:textId="71674CDD" w:rsidR="00BA4470" w:rsidRPr="00850F0D" w:rsidRDefault="00BA4470" w:rsidP="681B9274">
            <w:pPr>
              <w:pStyle w:val="Default"/>
              <w:rPr>
                <w:color w:val="0070C0"/>
              </w:rPr>
            </w:pPr>
          </w:p>
          <w:p w14:paraId="3222BA28" w14:textId="7D9B792B" w:rsidR="00BA4470" w:rsidRPr="00850F0D" w:rsidRDefault="00BA4470" w:rsidP="681B9274">
            <w:pPr>
              <w:pStyle w:val="Default"/>
              <w:rPr>
                <w:color w:val="0070C0"/>
              </w:rPr>
            </w:pPr>
          </w:p>
          <w:p w14:paraId="3589C331" w14:textId="507D820C" w:rsidR="00BA4470" w:rsidRPr="00850F0D" w:rsidRDefault="00BA4470" w:rsidP="681B9274">
            <w:pPr>
              <w:pStyle w:val="Default"/>
              <w:rPr>
                <w:color w:val="0070C0"/>
              </w:rPr>
            </w:pPr>
          </w:p>
          <w:p w14:paraId="6C6CC6EE" w14:textId="3BA7E6B3" w:rsidR="00BA4470" w:rsidRPr="00850F0D" w:rsidRDefault="00BA4470" w:rsidP="681B9274">
            <w:pPr>
              <w:pStyle w:val="Default"/>
              <w:rPr>
                <w:color w:val="0070C0"/>
              </w:rPr>
            </w:pPr>
          </w:p>
          <w:p w14:paraId="101C0BF9" w14:textId="19A16C21" w:rsidR="00BA4470" w:rsidRPr="00850F0D" w:rsidRDefault="00BA4470" w:rsidP="681B9274">
            <w:pPr>
              <w:pStyle w:val="Default"/>
              <w:rPr>
                <w:color w:val="0070C0"/>
              </w:rPr>
            </w:pPr>
          </w:p>
          <w:p w14:paraId="2C0EA64E" w14:textId="4F6C4D58" w:rsidR="00BA4470" w:rsidRPr="00850F0D" w:rsidRDefault="00BA4470" w:rsidP="681B9274">
            <w:pPr>
              <w:pStyle w:val="Default"/>
              <w:rPr>
                <w:color w:val="0070C0"/>
              </w:rPr>
            </w:pPr>
          </w:p>
          <w:p w14:paraId="4B74B927" w14:textId="319D4C3F" w:rsidR="00BA4470" w:rsidRPr="00850F0D" w:rsidRDefault="00BA4470" w:rsidP="681B9274">
            <w:pPr>
              <w:pStyle w:val="Default"/>
              <w:rPr>
                <w:color w:val="0070C0"/>
              </w:rPr>
            </w:pPr>
          </w:p>
          <w:p w14:paraId="37F5A356" w14:textId="363BE3A9" w:rsidR="00BA4470" w:rsidRPr="00850F0D" w:rsidRDefault="00BA4470" w:rsidP="681B9274">
            <w:pPr>
              <w:pStyle w:val="Default"/>
              <w:rPr>
                <w:color w:val="0070C0"/>
              </w:rPr>
            </w:pPr>
          </w:p>
          <w:p w14:paraId="48AD7455" w14:textId="3E50B864" w:rsidR="00BA4470" w:rsidRPr="00850F0D" w:rsidRDefault="00BA4470" w:rsidP="681B9274">
            <w:pPr>
              <w:pStyle w:val="Default"/>
              <w:rPr>
                <w:color w:val="0070C0"/>
              </w:rPr>
            </w:pPr>
          </w:p>
          <w:p w14:paraId="57BEA212" w14:textId="170B1A98" w:rsidR="00BA4470" w:rsidRPr="00850F0D" w:rsidRDefault="00BA4470" w:rsidP="681B9274">
            <w:pPr>
              <w:pStyle w:val="Default"/>
              <w:rPr>
                <w:color w:val="0070C0"/>
              </w:rPr>
            </w:pPr>
          </w:p>
          <w:p w14:paraId="2E216C97" w14:textId="721D325A" w:rsidR="00BA4470" w:rsidRPr="00850F0D" w:rsidRDefault="00BA4470" w:rsidP="681B9274">
            <w:pPr>
              <w:pStyle w:val="Default"/>
              <w:rPr>
                <w:color w:val="0070C0"/>
              </w:rPr>
            </w:pPr>
          </w:p>
          <w:p w14:paraId="2EB71DD9" w14:textId="368C915D" w:rsidR="00BA4470" w:rsidRPr="00850F0D" w:rsidRDefault="00BA4470" w:rsidP="681B9274">
            <w:pPr>
              <w:pStyle w:val="Default"/>
              <w:rPr>
                <w:color w:val="0070C0"/>
              </w:rPr>
            </w:pPr>
          </w:p>
          <w:p w14:paraId="3B89C045" w14:textId="3C981C48" w:rsidR="00BA4470" w:rsidRPr="00850F0D" w:rsidRDefault="00BA4470" w:rsidP="681B9274">
            <w:pPr>
              <w:pStyle w:val="Default"/>
              <w:rPr>
                <w:color w:val="0070C0"/>
              </w:rPr>
            </w:pPr>
          </w:p>
          <w:p w14:paraId="15669368" w14:textId="5FD94467" w:rsidR="00BA4470" w:rsidRPr="00850F0D" w:rsidRDefault="00BA4470" w:rsidP="681B9274">
            <w:pPr>
              <w:pStyle w:val="Default"/>
              <w:rPr>
                <w:color w:val="0070C0"/>
              </w:rPr>
            </w:pPr>
          </w:p>
          <w:p w14:paraId="48BE090B" w14:textId="37A3E795" w:rsidR="00BA4470" w:rsidRPr="00850F0D" w:rsidRDefault="00BA4470" w:rsidP="681B9274">
            <w:pPr>
              <w:pStyle w:val="Default"/>
              <w:rPr>
                <w:color w:val="0070C0"/>
              </w:rPr>
            </w:pPr>
          </w:p>
          <w:p w14:paraId="1BE5D641" w14:textId="1EAFB555" w:rsidR="00BA4470" w:rsidRPr="00850F0D" w:rsidRDefault="00BA4470" w:rsidP="681B9274">
            <w:pPr>
              <w:pStyle w:val="Default"/>
              <w:rPr>
                <w:color w:val="0070C0"/>
              </w:rPr>
            </w:pPr>
          </w:p>
          <w:p w14:paraId="6E8ECD9C" w14:textId="04D6BA85" w:rsidR="00BA4470" w:rsidRPr="00850F0D" w:rsidRDefault="00BA4470" w:rsidP="681B9274">
            <w:pPr>
              <w:pStyle w:val="Default"/>
              <w:rPr>
                <w:color w:val="0070C0"/>
              </w:rPr>
            </w:pPr>
          </w:p>
          <w:p w14:paraId="033FE429" w14:textId="782FBF48" w:rsidR="00BA4470" w:rsidRPr="00850F0D" w:rsidRDefault="00BA4470" w:rsidP="681B9274">
            <w:pPr>
              <w:pStyle w:val="Default"/>
              <w:rPr>
                <w:color w:val="0070C0"/>
              </w:rPr>
            </w:pPr>
          </w:p>
          <w:p w14:paraId="20644E74" w14:textId="5C5D0BA7" w:rsidR="00BA4470" w:rsidRPr="00850F0D" w:rsidRDefault="681B9274" w:rsidP="681B9274">
            <w:pPr>
              <w:pStyle w:val="Default"/>
              <w:rPr>
                <w:color w:val="0070C0"/>
              </w:rPr>
            </w:pPr>
            <w:r w:rsidRPr="681B9274">
              <w:rPr>
                <w:color w:val="0070C0"/>
              </w:rPr>
              <w:lastRenderedPageBreak/>
              <w:t>Les élèves savent depuis le collège que la somme des probabilités des issues élémentaires d’une expérience aléatoire est égale à 1. Le formalisme est introduit en classe de Seconde puis mobilisé en Première.</w:t>
            </w:r>
          </w:p>
          <w:p w14:paraId="77B6A700" w14:textId="46B9803F" w:rsidR="00BA4470" w:rsidRPr="00850F0D" w:rsidRDefault="681B9274" w:rsidP="681B9274">
            <w:pPr>
              <w:pStyle w:val="Default"/>
              <w:rPr>
                <w:color w:val="0070C0"/>
              </w:rPr>
            </w:pPr>
            <w:r w:rsidRPr="681B9274">
              <w:rPr>
                <w:color w:val="0070C0"/>
              </w:rPr>
              <w:t>Les élèves ont abordé les fonctions aléatoires sous environnement Python (et aussi sur tableur) en Seconde (resp. Cycle 4 et Seconde).</w:t>
            </w:r>
          </w:p>
          <w:p w14:paraId="394281DC" w14:textId="56F77820" w:rsidR="00BA4470" w:rsidRPr="00850F0D" w:rsidRDefault="00BA4470" w:rsidP="681B9274">
            <w:pPr>
              <w:pStyle w:val="Default"/>
              <w:rPr>
                <w:color w:val="0070C0"/>
              </w:rPr>
            </w:pPr>
          </w:p>
          <w:p w14:paraId="4902E390" w14:textId="64266C93" w:rsidR="00BA4470" w:rsidRPr="00850F0D" w:rsidRDefault="00BA4470" w:rsidP="681B9274">
            <w:pPr>
              <w:pStyle w:val="Default"/>
              <w:rPr>
                <w:color w:val="0070C0"/>
              </w:rPr>
            </w:pPr>
          </w:p>
          <w:p w14:paraId="5D9A1732" w14:textId="1C3F1B59" w:rsidR="00BA4470" w:rsidRPr="00850F0D" w:rsidRDefault="00BA4470" w:rsidP="681B9274">
            <w:pPr>
              <w:pStyle w:val="Default"/>
              <w:rPr>
                <w:color w:val="0070C0"/>
              </w:rPr>
            </w:pPr>
          </w:p>
          <w:p w14:paraId="01301A39" w14:textId="6DABBB11" w:rsidR="00BA4470" w:rsidRPr="00850F0D" w:rsidRDefault="00BA4470" w:rsidP="681B9274">
            <w:pPr>
              <w:pStyle w:val="Default"/>
              <w:rPr>
                <w:color w:val="0070C0"/>
              </w:rPr>
            </w:pPr>
          </w:p>
          <w:p w14:paraId="797A5371" w14:textId="1A7F255E" w:rsidR="00BA4470" w:rsidRPr="00850F0D" w:rsidRDefault="00BA4470" w:rsidP="681B9274">
            <w:pPr>
              <w:pStyle w:val="Default"/>
              <w:rPr>
                <w:color w:val="0070C0"/>
              </w:rPr>
            </w:pPr>
          </w:p>
          <w:p w14:paraId="3414ECD0" w14:textId="55DCB0CD" w:rsidR="00BA4470" w:rsidRPr="00850F0D" w:rsidRDefault="00BA4470" w:rsidP="681B9274">
            <w:pPr>
              <w:pStyle w:val="Default"/>
              <w:rPr>
                <w:color w:val="0070C0"/>
              </w:rPr>
            </w:pPr>
          </w:p>
          <w:p w14:paraId="30F85EC0" w14:textId="03A182B7" w:rsidR="00BA4470" w:rsidRPr="00850F0D" w:rsidRDefault="00BA4470" w:rsidP="681B9274">
            <w:pPr>
              <w:rPr>
                <w:rFonts w:ascii="Cambria" w:hAnsi="Cambria"/>
                <w:color w:val="0070C0"/>
                <w:sz w:val="22"/>
                <w:szCs w:val="22"/>
              </w:rPr>
            </w:pPr>
          </w:p>
          <w:p w14:paraId="05D8F2BF" w14:textId="19C907E2" w:rsidR="00BA4470" w:rsidRPr="00850F0D" w:rsidRDefault="00BA4470" w:rsidP="681B9274">
            <w:pPr>
              <w:rPr>
                <w:rFonts w:ascii="Cambria" w:hAnsi="Cambria"/>
                <w:color w:val="0070C0"/>
                <w:sz w:val="22"/>
                <w:szCs w:val="22"/>
              </w:rPr>
            </w:pPr>
          </w:p>
          <w:p w14:paraId="48C62868" w14:textId="26878047" w:rsidR="00BA4470" w:rsidRPr="00850F0D" w:rsidRDefault="00BA4470" w:rsidP="681B9274">
            <w:pPr>
              <w:rPr>
                <w:rFonts w:ascii="Cambria" w:hAnsi="Cambria"/>
                <w:color w:val="0070C0"/>
                <w:sz w:val="22"/>
                <w:szCs w:val="22"/>
              </w:rPr>
            </w:pPr>
          </w:p>
          <w:p w14:paraId="2AB2769D" w14:textId="610A2C33" w:rsidR="00BA4470" w:rsidRPr="00850F0D" w:rsidRDefault="681B9274" w:rsidP="681B9274">
            <w:pPr>
              <w:rPr>
                <w:rFonts w:ascii="Cambria" w:hAnsi="Cambria"/>
                <w:color w:val="0070C0"/>
                <w:sz w:val="22"/>
                <w:szCs w:val="22"/>
              </w:rPr>
            </w:pPr>
            <w:r w:rsidRPr="681B9274">
              <w:rPr>
                <w:rFonts w:ascii="Cambria" w:hAnsi="Cambria"/>
                <w:color w:val="0070C0"/>
                <w:sz w:val="22"/>
                <w:szCs w:val="22"/>
              </w:rPr>
              <w:t>L’analogie avec le sous-thème “radioactivité” développé en classe de première de l’Enseignement Scientifique est à remobiliser.</w:t>
            </w:r>
          </w:p>
          <w:p w14:paraId="747A99B9" w14:textId="01E1336A" w:rsidR="00BA4470" w:rsidRPr="00850F0D" w:rsidRDefault="00BA4470" w:rsidP="681B9274">
            <w:pPr>
              <w:rPr>
                <w:rFonts w:ascii="Cambria" w:hAnsi="Cambria"/>
                <w:color w:val="0070C0"/>
                <w:sz w:val="22"/>
                <w:szCs w:val="22"/>
              </w:rPr>
            </w:pPr>
          </w:p>
          <w:p w14:paraId="3A8D2135" w14:textId="6E022F26" w:rsidR="00BA4470" w:rsidRPr="00850F0D" w:rsidRDefault="00BA4470" w:rsidP="681B9274">
            <w:pPr>
              <w:pStyle w:val="Default"/>
              <w:rPr>
                <w:color w:val="0070C0"/>
              </w:rPr>
            </w:pPr>
          </w:p>
        </w:tc>
        <w:tc>
          <w:tcPr>
            <w:tcW w:w="2405" w:type="dxa"/>
            <w:vMerge w:val="restart"/>
          </w:tcPr>
          <w:p w14:paraId="4936ACF6" w14:textId="660174D2" w:rsidR="00BA4470" w:rsidRDefault="00BA4470" w:rsidP="00BA4470"/>
          <w:p w14:paraId="58C4F729" w14:textId="0F1ACC6E" w:rsidR="00BA4470" w:rsidRDefault="00BA4470" w:rsidP="681B9274"/>
          <w:p w14:paraId="165CA92E" w14:textId="3B19B158" w:rsidR="00BA4470" w:rsidRDefault="00BA4470" w:rsidP="681B9274"/>
          <w:p w14:paraId="550046FE" w14:textId="30C96935" w:rsidR="00BA4470" w:rsidRDefault="00BA4470" w:rsidP="681B9274"/>
          <w:p w14:paraId="5E61CCF9" w14:textId="1970F960" w:rsidR="00BA4470" w:rsidRDefault="00BA4470" w:rsidP="681B9274"/>
          <w:p w14:paraId="7B0CDB90" w14:textId="372F8795" w:rsidR="00BA4470" w:rsidRDefault="00BA4470" w:rsidP="681B9274"/>
          <w:p w14:paraId="7705220A" w14:textId="5D14E386" w:rsidR="00BA4470" w:rsidRDefault="00BA4470" w:rsidP="681B9274"/>
          <w:p w14:paraId="66EFE216" w14:textId="69CB79FE" w:rsidR="00BA4470" w:rsidRDefault="00BA4470" w:rsidP="681B9274"/>
          <w:p w14:paraId="0B81B9F4" w14:textId="3C8308A7" w:rsidR="00BA4470" w:rsidRDefault="00BA4470" w:rsidP="681B9274"/>
          <w:p w14:paraId="164ADA2C" w14:textId="30CD8B7C" w:rsidR="00BA4470" w:rsidRDefault="00BA4470" w:rsidP="681B9274"/>
          <w:p w14:paraId="31681BE1" w14:textId="3AFCD6FD" w:rsidR="00BA4470" w:rsidRDefault="00BA4470" w:rsidP="681B9274"/>
          <w:p w14:paraId="57C3C2EA" w14:textId="1FC9FA4A" w:rsidR="00BA4470" w:rsidRDefault="00BA4470" w:rsidP="681B9274"/>
          <w:p w14:paraId="3DD6F1DD" w14:textId="38F0F6E2" w:rsidR="00BA4470" w:rsidRDefault="00BA4470" w:rsidP="681B9274"/>
          <w:p w14:paraId="5CCBB4B9" w14:textId="126BD5DC" w:rsidR="00BA4470" w:rsidRDefault="00BA4470" w:rsidP="681B9274"/>
          <w:p w14:paraId="58077658" w14:textId="6C6D93FC" w:rsidR="00BA4470" w:rsidRDefault="00BA4470" w:rsidP="681B9274"/>
          <w:p w14:paraId="1D51BE64" w14:textId="1C2B54F5" w:rsidR="00BA4470" w:rsidRDefault="681B9274" w:rsidP="681B9274">
            <w:pPr>
              <w:rPr>
                <w:color w:val="0070C0"/>
              </w:rPr>
            </w:pPr>
            <w:r w:rsidRPr="681B9274">
              <w:rPr>
                <w:color w:val="0070C0"/>
              </w:rPr>
              <w:t>Les compétences mathématiques “modéliser”, “raisonner” et “communiquer” sont centrales dans ce thème. Les élèves peuvent ainsi, notamment, comprendre la notion de prise de décision et confronter ce que le modèle propose et la réalité.</w:t>
            </w:r>
          </w:p>
          <w:p w14:paraId="3870D78D" w14:textId="1C584DA9" w:rsidR="00BA4470" w:rsidRDefault="681B9274" w:rsidP="681B9274">
            <w:pPr>
              <w:rPr>
                <w:color w:val="0070C0"/>
              </w:rPr>
            </w:pPr>
            <w:r w:rsidRPr="681B9274">
              <w:rPr>
                <w:color w:val="0070C0"/>
              </w:rPr>
              <w:t>L’utilisation des intervalles de confiance permet aussi aux élèves de comprendre la versatilité des sondages.</w:t>
            </w:r>
          </w:p>
          <w:p w14:paraId="205A58F6" w14:textId="66CCEC7D" w:rsidR="00BA4470" w:rsidRDefault="00BA4470" w:rsidP="681B9274">
            <w:pPr>
              <w:rPr>
                <w:color w:val="0070C0"/>
              </w:rPr>
            </w:pPr>
          </w:p>
          <w:p w14:paraId="686549B9" w14:textId="24EC3FB5" w:rsidR="00BA4470" w:rsidRDefault="00BA4470" w:rsidP="681B9274">
            <w:pPr>
              <w:rPr>
                <w:color w:val="0070C0"/>
              </w:rPr>
            </w:pPr>
          </w:p>
          <w:p w14:paraId="295ADFE0" w14:textId="0FA60C36" w:rsidR="00BA4470" w:rsidRDefault="00BA4470" w:rsidP="681B9274">
            <w:pPr>
              <w:rPr>
                <w:color w:val="0070C0"/>
              </w:rPr>
            </w:pPr>
          </w:p>
          <w:p w14:paraId="71131C0E" w14:textId="3F488E02" w:rsidR="00BA4470" w:rsidRDefault="00BA4470" w:rsidP="681B9274">
            <w:pPr>
              <w:rPr>
                <w:color w:val="0070C0"/>
              </w:rPr>
            </w:pPr>
          </w:p>
          <w:p w14:paraId="6D3884F1" w14:textId="19C0F904" w:rsidR="00BA4470" w:rsidRDefault="00BA4470" w:rsidP="681B9274">
            <w:pPr>
              <w:rPr>
                <w:color w:val="0070C0"/>
              </w:rPr>
            </w:pPr>
          </w:p>
          <w:p w14:paraId="330A38F7" w14:textId="6855F52A" w:rsidR="00BA4470" w:rsidRDefault="00BA4470" w:rsidP="681B9274">
            <w:pPr>
              <w:rPr>
                <w:color w:val="0070C0"/>
              </w:rPr>
            </w:pPr>
          </w:p>
          <w:p w14:paraId="78B30394" w14:textId="1A8810D4" w:rsidR="00BA4470" w:rsidRDefault="00BA4470" w:rsidP="681B9274">
            <w:pPr>
              <w:rPr>
                <w:color w:val="0070C0"/>
              </w:rPr>
            </w:pPr>
          </w:p>
          <w:p w14:paraId="5210731B" w14:textId="59CD2830" w:rsidR="00BA4470" w:rsidRDefault="00BA4470" w:rsidP="681B9274">
            <w:pPr>
              <w:rPr>
                <w:color w:val="0070C0"/>
              </w:rPr>
            </w:pPr>
          </w:p>
          <w:p w14:paraId="054E1BC8" w14:textId="300FC9CF" w:rsidR="00BA4470" w:rsidRDefault="00BA4470" w:rsidP="681B9274">
            <w:pPr>
              <w:rPr>
                <w:color w:val="0070C0"/>
              </w:rPr>
            </w:pPr>
          </w:p>
          <w:p w14:paraId="3556593A" w14:textId="7466028A" w:rsidR="00BA4470" w:rsidRDefault="00BA4470" w:rsidP="681B9274">
            <w:pPr>
              <w:rPr>
                <w:color w:val="0070C0"/>
              </w:rPr>
            </w:pPr>
          </w:p>
          <w:p w14:paraId="533FB775" w14:textId="0A46D361" w:rsidR="00BA4470" w:rsidRDefault="681B9274" w:rsidP="681B9274">
            <w:r w:rsidRPr="681B9274">
              <w:rPr>
                <w:color w:val="0070C0"/>
              </w:rPr>
              <w:t xml:space="preserve">L’approche pédagogique du modèle d’Hardy-Weinberg est conditionnée par les spécialités suivies par les élèves. </w:t>
            </w:r>
          </w:p>
        </w:tc>
        <w:tc>
          <w:tcPr>
            <w:tcW w:w="2977" w:type="dxa"/>
            <w:vMerge w:val="restart"/>
          </w:tcPr>
          <w:p w14:paraId="63950508" w14:textId="61737486" w:rsidR="00BA4470" w:rsidRPr="00675A6E" w:rsidRDefault="00BA4470" w:rsidP="681B9274">
            <w:pPr>
              <w:rPr>
                <w:rFonts w:ascii="Cambria" w:hAnsi="Cambria"/>
                <w:sz w:val="22"/>
                <w:szCs w:val="22"/>
              </w:rPr>
            </w:pPr>
          </w:p>
          <w:p w14:paraId="1604D0D0" w14:textId="039AD649" w:rsidR="00BA4470" w:rsidRPr="00675A6E" w:rsidRDefault="00BA4470" w:rsidP="681B9274">
            <w:pPr>
              <w:rPr>
                <w:rFonts w:ascii="Cambria" w:hAnsi="Cambria"/>
                <w:sz w:val="22"/>
                <w:szCs w:val="22"/>
              </w:rPr>
            </w:pPr>
          </w:p>
          <w:p w14:paraId="29C4AAC4" w14:textId="23DD1C2B" w:rsidR="00BA4470" w:rsidRPr="00675A6E" w:rsidRDefault="00BA4470" w:rsidP="681B9274">
            <w:pPr>
              <w:rPr>
                <w:rFonts w:ascii="Cambria" w:hAnsi="Cambria"/>
                <w:sz w:val="22"/>
                <w:szCs w:val="22"/>
              </w:rPr>
            </w:pPr>
          </w:p>
          <w:p w14:paraId="3E694F4B" w14:textId="14474638" w:rsidR="00BA4470" w:rsidRPr="00675A6E" w:rsidRDefault="00BA4470" w:rsidP="681B9274">
            <w:pPr>
              <w:rPr>
                <w:rFonts w:ascii="Cambria" w:hAnsi="Cambria"/>
                <w:sz w:val="22"/>
                <w:szCs w:val="22"/>
              </w:rPr>
            </w:pPr>
          </w:p>
          <w:p w14:paraId="3684FE3B" w14:textId="4FE2D890" w:rsidR="00BA4470" w:rsidRPr="00675A6E" w:rsidRDefault="00BA4470" w:rsidP="681B9274">
            <w:pPr>
              <w:rPr>
                <w:rFonts w:ascii="Cambria" w:hAnsi="Cambria"/>
                <w:sz w:val="22"/>
                <w:szCs w:val="22"/>
              </w:rPr>
            </w:pPr>
          </w:p>
          <w:p w14:paraId="0D736C9E" w14:textId="0BFC6669" w:rsidR="00BA4470" w:rsidRPr="00675A6E" w:rsidRDefault="00BA4470" w:rsidP="681B9274">
            <w:pPr>
              <w:rPr>
                <w:rFonts w:ascii="Cambria" w:hAnsi="Cambria"/>
                <w:sz w:val="22"/>
                <w:szCs w:val="22"/>
              </w:rPr>
            </w:pPr>
          </w:p>
          <w:p w14:paraId="653CADEE" w14:textId="11D4590E" w:rsidR="00BA4470" w:rsidRPr="00675A6E" w:rsidRDefault="00BA4470" w:rsidP="681B9274">
            <w:pPr>
              <w:rPr>
                <w:rFonts w:ascii="Cambria" w:hAnsi="Cambria"/>
                <w:sz w:val="22"/>
                <w:szCs w:val="22"/>
              </w:rPr>
            </w:pPr>
          </w:p>
          <w:p w14:paraId="41374085" w14:textId="4E3B8DF0" w:rsidR="00BA4470" w:rsidRPr="00675A6E" w:rsidRDefault="00BA4470" w:rsidP="681B9274">
            <w:pPr>
              <w:rPr>
                <w:rFonts w:ascii="Cambria" w:hAnsi="Cambria"/>
                <w:sz w:val="22"/>
                <w:szCs w:val="22"/>
              </w:rPr>
            </w:pPr>
          </w:p>
          <w:p w14:paraId="46FED405" w14:textId="799D8B8C" w:rsidR="00BA4470" w:rsidRPr="00675A6E" w:rsidRDefault="00BA4470" w:rsidP="681B9274">
            <w:pPr>
              <w:rPr>
                <w:rFonts w:ascii="Cambria" w:hAnsi="Cambria"/>
                <w:sz w:val="22"/>
                <w:szCs w:val="22"/>
              </w:rPr>
            </w:pPr>
          </w:p>
          <w:p w14:paraId="784A5A9C" w14:textId="4ACE0A71" w:rsidR="00BA4470" w:rsidRPr="00675A6E" w:rsidRDefault="00BA4470" w:rsidP="681B9274">
            <w:pPr>
              <w:rPr>
                <w:rFonts w:ascii="Cambria" w:hAnsi="Cambria"/>
                <w:sz w:val="22"/>
                <w:szCs w:val="22"/>
              </w:rPr>
            </w:pPr>
          </w:p>
          <w:p w14:paraId="01409FDC" w14:textId="00C583D5" w:rsidR="00BA4470" w:rsidRPr="00675A6E" w:rsidRDefault="00BA4470" w:rsidP="681B9274">
            <w:pPr>
              <w:rPr>
                <w:rFonts w:ascii="Cambria" w:hAnsi="Cambria"/>
                <w:sz w:val="22"/>
                <w:szCs w:val="22"/>
              </w:rPr>
            </w:pPr>
          </w:p>
          <w:p w14:paraId="42D1FF7C" w14:textId="3642EE60" w:rsidR="00BA4470" w:rsidRPr="00675A6E" w:rsidRDefault="00BA4470" w:rsidP="681B9274">
            <w:pPr>
              <w:rPr>
                <w:rFonts w:ascii="Cambria" w:hAnsi="Cambria"/>
                <w:sz w:val="22"/>
                <w:szCs w:val="22"/>
              </w:rPr>
            </w:pPr>
          </w:p>
          <w:p w14:paraId="491BE33B" w14:textId="0289E6A6" w:rsidR="00BA4470" w:rsidRPr="00675A6E" w:rsidRDefault="00BA4470" w:rsidP="681B9274">
            <w:pPr>
              <w:rPr>
                <w:rFonts w:ascii="Cambria" w:hAnsi="Cambria"/>
                <w:sz w:val="22"/>
                <w:szCs w:val="22"/>
              </w:rPr>
            </w:pPr>
          </w:p>
          <w:p w14:paraId="6185405D" w14:textId="1403DC75" w:rsidR="00BA4470" w:rsidRPr="00675A6E" w:rsidRDefault="00BA4470" w:rsidP="681B9274">
            <w:pPr>
              <w:rPr>
                <w:rFonts w:ascii="Cambria" w:hAnsi="Cambria"/>
                <w:sz w:val="22"/>
                <w:szCs w:val="22"/>
              </w:rPr>
            </w:pPr>
          </w:p>
          <w:p w14:paraId="3864C254" w14:textId="3BD6B237" w:rsidR="00BA4470" w:rsidRPr="00675A6E" w:rsidRDefault="00BA4470" w:rsidP="681B9274">
            <w:pPr>
              <w:rPr>
                <w:rFonts w:ascii="Cambria" w:hAnsi="Cambria"/>
                <w:sz w:val="22"/>
                <w:szCs w:val="22"/>
              </w:rPr>
            </w:pPr>
          </w:p>
          <w:p w14:paraId="7238521F" w14:textId="03446BBC" w:rsidR="00BA4470" w:rsidRPr="00675A6E" w:rsidRDefault="00BA4470" w:rsidP="681B9274">
            <w:pPr>
              <w:rPr>
                <w:rFonts w:ascii="Cambria" w:hAnsi="Cambria"/>
                <w:sz w:val="22"/>
                <w:szCs w:val="22"/>
              </w:rPr>
            </w:pPr>
          </w:p>
          <w:p w14:paraId="56B1FB85" w14:textId="3EAA1DF7" w:rsidR="00BA4470" w:rsidRPr="00675A6E" w:rsidRDefault="00BA4470" w:rsidP="681B9274">
            <w:pPr>
              <w:rPr>
                <w:rFonts w:ascii="Cambria" w:hAnsi="Cambria"/>
                <w:sz w:val="22"/>
                <w:szCs w:val="22"/>
              </w:rPr>
            </w:pPr>
          </w:p>
          <w:p w14:paraId="7122F740" w14:textId="37BF2E54" w:rsidR="00BA4470" w:rsidRPr="00675A6E" w:rsidRDefault="00BA4470" w:rsidP="681B9274">
            <w:pPr>
              <w:rPr>
                <w:rFonts w:ascii="Cambria" w:hAnsi="Cambria"/>
                <w:sz w:val="22"/>
                <w:szCs w:val="22"/>
              </w:rPr>
            </w:pPr>
          </w:p>
          <w:p w14:paraId="0E7D7251" w14:textId="67F337C3" w:rsidR="00BA4470" w:rsidRPr="00675A6E" w:rsidRDefault="00BA4470" w:rsidP="681B9274">
            <w:pPr>
              <w:rPr>
                <w:rFonts w:ascii="Cambria" w:hAnsi="Cambria"/>
                <w:sz w:val="22"/>
                <w:szCs w:val="22"/>
              </w:rPr>
            </w:pPr>
          </w:p>
          <w:p w14:paraId="739E55FB" w14:textId="4C81EC0B" w:rsidR="00BA4470" w:rsidRPr="00675A6E" w:rsidRDefault="00BA4470" w:rsidP="681B9274">
            <w:pPr>
              <w:rPr>
                <w:rFonts w:ascii="Cambria" w:hAnsi="Cambria"/>
                <w:sz w:val="22"/>
                <w:szCs w:val="22"/>
              </w:rPr>
            </w:pPr>
          </w:p>
          <w:p w14:paraId="314E84A8" w14:textId="69408C5F" w:rsidR="00BA4470" w:rsidRPr="00675A6E" w:rsidRDefault="00BA4470" w:rsidP="681B9274">
            <w:pPr>
              <w:rPr>
                <w:rFonts w:ascii="Cambria" w:hAnsi="Cambria"/>
                <w:sz w:val="22"/>
                <w:szCs w:val="22"/>
              </w:rPr>
            </w:pPr>
          </w:p>
          <w:p w14:paraId="3893FEC9" w14:textId="420D325A" w:rsidR="00BA4470" w:rsidRPr="00675A6E" w:rsidRDefault="00BA4470" w:rsidP="681B9274">
            <w:pPr>
              <w:rPr>
                <w:rFonts w:ascii="Cambria" w:hAnsi="Cambria"/>
                <w:sz w:val="22"/>
                <w:szCs w:val="22"/>
              </w:rPr>
            </w:pPr>
          </w:p>
          <w:p w14:paraId="398C351B" w14:textId="2C100A75" w:rsidR="00BA4470" w:rsidRPr="00675A6E" w:rsidRDefault="681B9274" w:rsidP="681B9274">
            <w:pPr>
              <w:rPr>
                <w:rFonts w:ascii="Cambria" w:hAnsi="Cambria"/>
                <w:sz w:val="22"/>
                <w:szCs w:val="22"/>
              </w:rPr>
            </w:pPr>
            <w:r w:rsidRPr="681B9274">
              <w:rPr>
                <w:rFonts w:ascii="Cambria" w:hAnsi="Cambria"/>
                <w:color w:val="0070C0"/>
                <w:sz w:val="22"/>
                <w:szCs w:val="22"/>
              </w:rPr>
              <w:t>Les probabilités conditionnelles, les arbres pondérés sont abordés en classe de première uniquement.</w:t>
            </w:r>
          </w:p>
          <w:p w14:paraId="397A25F3" w14:textId="0B52B281" w:rsidR="00BA4470" w:rsidRPr="00675A6E" w:rsidRDefault="00BA4470" w:rsidP="681B9274">
            <w:pPr>
              <w:rPr>
                <w:rFonts w:ascii="Cambria" w:hAnsi="Cambria"/>
                <w:color w:val="0070C0"/>
                <w:sz w:val="22"/>
                <w:szCs w:val="22"/>
              </w:rPr>
            </w:pPr>
          </w:p>
          <w:p w14:paraId="756D0CC4" w14:textId="58569157" w:rsidR="00BA4470" w:rsidRPr="00675A6E" w:rsidRDefault="00BA4470" w:rsidP="681B9274">
            <w:pPr>
              <w:rPr>
                <w:rFonts w:ascii="Cambria" w:hAnsi="Cambria"/>
                <w:color w:val="0070C0"/>
                <w:sz w:val="22"/>
                <w:szCs w:val="22"/>
              </w:rPr>
            </w:pPr>
          </w:p>
          <w:p w14:paraId="03D47CC4" w14:textId="502CFC59" w:rsidR="00BA4470" w:rsidRPr="00675A6E" w:rsidRDefault="00BA4470" w:rsidP="681B9274">
            <w:pPr>
              <w:rPr>
                <w:rFonts w:ascii="Cambria" w:hAnsi="Cambria"/>
                <w:color w:val="0070C0"/>
                <w:sz w:val="22"/>
                <w:szCs w:val="22"/>
              </w:rPr>
            </w:pPr>
          </w:p>
          <w:p w14:paraId="05E440B1" w14:textId="5AA738EB" w:rsidR="00BA4470" w:rsidRPr="00675A6E" w:rsidRDefault="00BA4470" w:rsidP="681B9274">
            <w:pPr>
              <w:rPr>
                <w:rFonts w:ascii="Cambria" w:hAnsi="Cambria"/>
                <w:color w:val="0070C0"/>
                <w:sz w:val="22"/>
                <w:szCs w:val="22"/>
              </w:rPr>
            </w:pPr>
          </w:p>
          <w:p w14:paraId="2F9F49BD" w14:textId="3B818680" w:rsidR="00BA4470" w:rsidRPr="00675A6E" w:rsidRDefault="681B9274" w:rsidP="681B9274">
            <w:pPr>
              <w:rPr>
                <w:rFonts w:ascii="Cambria" w:hAnsi="Cambria"/>
                <w:color w:val="0070C0"/>
                <w:sz w:val="22"/>
                <w:szCs w:val="22"/>
              </w:rPr>
            </w:pPr>
            <w:r w:rsidRPr="681B9274">
              <w:rPr>
                <w:rFonts w:ascii="Cambria" w:hAnsi="Cambria"/>
                <w:color w:val="0070C0"/>
                <w:sz w:val="22"/>
                <w:szCs w:val="22"/>
              </w:rPr>
              <w:t>La notion de fluctuation d’échantillonnage est abordée en contexte en classe de seconde. Les élèves suivant l’option Mathématiques complémentaires de Terminale étudient des modèles d’évolution ainsi que les notions d’échantillonnage et de corrélation et causalité</w:t>
            </w:r>
          </w:p>
          <w:p w14:paraId="24D61621" w14:textId="1A34FC1D" w:rsidR="00BA4470" w:rsidRPr="00675A6E" w:rsidRDefault="00BA4470" w:rsidP="681B9274">
            <w:pPr>
              <w:rPr>
                <w:rFonts w:ascii="Cambria" w:hAnsi="Cambria"/>
                <w:color w:val="0070C0"/>
                <w:sz w:val="22"/>
                <w:szCs w:val="22"/>
              </w:rPr>
            </w:pPr>
          </w:p>
          <w:p w14:paraId="26AA83DC" w14:textId="397EDCA6" w:rsidR="00BA4470" w:rsidRPr="00675A6E" w:rsidRDefault="00BA4470" w:rsidP="681B9274">
            <w:pPr>
              <w:rPr>
                <w:rFonts w:ascii="Cambria" w:hAnsi="Cambria"/>
                <w:color w:val="0070C0"/>
                <w:sz w:val="22"/>
                <w:szCs w:val="22"/>
              </w:rPr>
            </w:pPr>
          </w:p>
          <w:p w14:paraId="2CBD03D4" w14:textId="35476EC9" w:rsidR="00BA4470" w:rsidRPr="00675A6E" w:rsidRDefault="00BA4470" w:rsidP="681B9274">
            <w:pPr>
              <w:rPr>
                <w:rFonts w:ascii="Cambria" w:hAnsi="Cambria"/>
                <w:color w:val="0070C0"/>
                <w:sz w:val="22"/>
                <w:szCs w:val="22"/>
              </w:rPr>
            </w:pPr>
          </w:p>
          <w:p w14:paraId="62026026" w14:textId="784E9604" w:rsidR="00BA4470" w:rsidRPr="00675A6E" w:rsidRDefault="00BA4470" w:rsidP="681B9274">
            <w:pPr>
              <w:rPr>
                <w:rFonts w:ascii="Cambria" w:hAnsi="Cambria"/>
                <w:color w:val="0070C0"/>
                <w:sz w:val="22"/>
                <w:szCs w:val="22"/>
              </w:rPr>
            </w:pPr>
          </w:p>
          <w:p w14:paraId="299D9B19" w14:textId="49E82BA4" w:rsidR="00BA4470" w:rsidRPr="00675A6E" w:rsidRDefault="00BA4470" w:rsidP="681B9274">
            <w:pPr>
              <w:rPr>
                <w:rFonts w:ascii="Cambria" w:hAnsi="Cambria"/>
                <w:color w:val="0070C0"/>
                <w:sz w:val="22"/>
                <w:szCs w:val="22"/>
              </w:rPr>
            </w:pPr>
          </w:p>
          <w:p w14:paraId="6D584D40" w14:textId="227C4D62" w:rsidR="00BA4470" w:rsidRPr="00675A6E" w:rsidRDefault="00BA4470" w:rsidP="681B9274">
            <w:pPr>
              <w:rPr>
                <w:rFonts w:ascii="Cambria" w:hAnsi="Cambria"/>
                <w:color w:val="0070C0"/>
                <w:sz w:val="22"/>
                <w:szCs w:val="22"/>
              </w:rPr>
            </w:pPr>
          </w:p>
          <w:p w14:paraId="4E6DEF1A" w14:textId="340839A4" w:rsidR="00BA4470" w:rsidRPr="00675A6E" w:rsidRDefault="681B9274" w:rsidP="681B9274">
            <w:pPr>
              <w:rPr>
                <w:rFonts w:ascii="Cambria" w:hAnsi="Cambria"/>
                <w:color w:val="0070C0"/>
                <w:sz w:val="22"/>
                <w:szCs w:val="22"/>
              </w:rPr>
            </w:pPr>
            <w:r w:rsidRPr="681B9274">
              <w:rPr>
                <w:rFonts w:ascii="Cambria" w:hAnsi="Cambria"/>
                <w:color w:val="0070C0"/>
                <w:sz w:val="22"/>
                <w:szCs w:val="22"/>
              </w:rPr>
              <w:t xml:space="preserve">La notion de suite est abordée en classe de première. </w:t>
            </w:r>
          </w:p>
        </w:tc>
      </w:tr>
      <w:tr w:rsidR="00BA4470" w14:paraId="7510E4AD" w14:textId="77777777" w:rsidTr="7C9A0712">
        <w:tc>
          <w:tcPr>
            <w:tcW w:w="3402" w:type="dxa"/>
            <w:vAlign w:val="bottom"/>
          </w:tcPr>
          <w:p w14:paraId="5806A72C" w14:textId="77777777" w:rsidR="00BA4470" w:rsidRDefault="00BA4470" w:rsidP="00BA4470">
            <w:pPr>
              <w:spacing w:line="275" w:lineRule="auto"/>
              <w:ind w:right="51"/>
            </w:pPr>
            <w:r>
              <w:rPr>
                <w:sz w:val="22"/>
              </w:rPr>
              <w:lastRenderedPageBreak/>
              <w:t xml:space="preserve">Au cours de l’évolution biologique, la composition génétique des populations d’une espèce change </w:t>
            </w:r>
            <w:r>
              <w:rPr>
                <w:sz w:val="22"/>
              </w:rPr>
              <w:lastRenderedPageBreak/>
              <w:t xml:space="preserve">de génération en génération.  </w:t>
            </w:r>
          </w:p>
          <w:p w14:paraId="1248303C" w14:textId="77777777" w:rsidR="00BA4470" w:rsidRDefault="00BA4470" w:rsidP="00BA4470">
            <w:pPr>
              <w:spacing w:after="118" w:line="275" w:lineRule="auto"/>
              <w:ind w:right="47"/>
            </w:pPr>
            <w:r>
              <w:rPr>
                <w:sz w:val="22"/>
              </w:rPr>
              <w:t xml:space="preserve">Le modèle mathématique de Hardy-Weinberg utilise la théorie des probabilités pour décrire le phénomène aléatoire de transmission des allèles dans une population. En assimilant les probabilités à des fréquences pour des effectifs de grande taille (loi des grands nombres), le modèle prédit que la structure génétique d’une population de grand effectif est stable d’une génération à l’autre sous certaines conditions (absence de migration, de mutation et de sélection). Cette stabilité théorique est connue sous le nom d’équilibre de Hardy-Weinberg. </w:t>
            </w:r>
          </w:p>
          <w:p w14:paraId="766F1AD3" w14:textId="77777777" w:rsidR="00BA4470" w:rsidRDefault="00BA4470" w:rsidP="00BA4470">
            <w:pPr>
              <w:spacing w:line="259" w:lineRule="auto"/>
              <w:ind w:right="48"/>
              <w:rPr>
                <w:sz w:val="22"/>
              </w:rPr>
            </w:pPr>
            <w:r>
              <w:rPr>
                <w:sz w:val="22"/>
              </w:rPr>
              <w:t xml:space="preserve">Les écarts entre les fréquences observées sur une population naturelle et les résultats du modèle s’expliquent notamment par les effets de forces évolutives (mutation, sélection, dérive, etc.). </w:t>
            </w:r>
          </w:p>
          <w:p w14:paraId="1F65173A" w14:textId="77777777" w:rsidR="00BA4470" w:rsidRDefault="00BA4470" w:rsidP="00BA4470">
            <w:pPr>
              <w:spacing w:after="241" w:line="275" w:lineRule="auto"/>
              <w:ind w:right="49"/>
            </w:pPr>
            <w:r>
              <w:rPr>
                <w:sz w:val="22"/>
              </w:rPr>
              <w:t xml:space="preserve">Les activités humaines (pollution, destruction des écosystèmes, combustions et leurs impacts climatiques, surexploitation d’espèces, …) ont des conséquences sur la biodiversité et ses composantes (dont la variation </w:t>
            </w:r>
            <w:r>
              <w:rPr>
                <w:sz w:val="22"/>
              </w:rPr>
              <w:lastRenderedPageBreak/>
              <w:t xml:space="preserve">d’abondance) et conduisent à l’extinction d’espèces. </w:t>
            </w:r>
          </w:p>
          <w:p w14:paraId="0438C83E" w14:textId="77777777" w:rsidR="00BA4470" w:rsidRDefault="00BA4470" w:rsidP="00BA4470">
            <w:pPr>
              <w:spacing w:after="1" w:line="275" w:lineRule="auto"/>
              <w:ind w:right="47"/>
            </w:pPr>
            <w:r>
              <w:rPr>
                <w:sz w:val="22"/>
              </w:rPr>
              <w:t xml:space="preserve">La fragmentation d’une population en plusieurs échantillons de plus faibles effectifs entraîne par dérive génétique un appauvrissement de la diversité génétique d’une population. </w:t>
            </w:r>
          </w:p>
          <w:p w14:paraId="7A59570D" w14:textId="1166A088" w:rsidR="00BA4470" w:rsidRDefault="00BA4470" w:rsidP="00BA4470">
            <w:pPr>
              <w:pStyle w:val="Default"/>
            </w:pPr>
            <w:r>
              <w:rPr>
                <w:sz w:val="22"/>
              </w:rPr>
              <w:t>La connaissance et la gestion d’un écosystème permettent d’y préserver la biodiversité.</w:t>
            </w:r>
          </w:p>
        </w:tc>
        <w:tc>
          <w:tcPr>
            <w:tcW w:w="2987" w:type="dxa"/>
            <w:vAlign w:val="center"/>
          </w:tcPr>
          <w:p w14:paraId="2929491D" w14:textId="77777777" w:rsidR="00BA4470" w:rsidRDefault="00BA4470" w:rsidP="00BA4470">
            <w:pPr>
              <w:spacing w:after="139" w:line="259" w:lineRule="auto"/>
              <w:ind w:left="1"/>
            </w:pPr>
            <w:r>
              <w:rPr>
                <w:sz w:val="22"/>
              </w:rPr>
              <w:lastRenderedPageBreak/>
              <w:t xml:space="preserve"> </w:t>
            </w:r>
          </w:p>
          <w:p w14:paraId="2FE6B0DB" w14:textId="77777777" w:rsidR="00BA4470" w:rsidRDefault="00BA4470" w:rsidP="00BA4470">
            <w:pPr>
              <w:spacing w:after="121" w:line="275" w:lineRule="auto"/>
              <w:ind w:left="1" w:right="48"/>
            </w:pPr>
            <w:r>
              <w:rPr>
                <w:sz w:val="22"/>
              </w:rPr>
              <w:t xml:space="preserve">Pour la transmission de deux </w:t>
            </w:r>
            <w:r>
              <w:rPr>
                <w:sz w:val="22"/>
              </w:rPr>
              <w:lastRenderedPageBreak/>
              <w:t xml:space="preserve">allèles dans le cadre du modèle de Hardy-Weinberg, établir les relations entre les probabilités des génotypes d’une génération et celles de la génération précédente.  </w:t>
            </w:r>
          </w:p>
          <w:p w14:paraId="401B9ACC" w14:textId="77777777" w:rsidR="00BA4470" w:rsidRDefault="00BA4470" w:rsidP="00BA4470">
            <w:pPr>
              <w:spacing w:after="119" w:line="275" w:lineRule="auto"/>
              <w:ind w:left="1" w:right="48"/>
            </w:pPr>
            <w:r>
              <w:rPr>
                <w:sz w:val="22"/>
              </w:rPr>
              <w:t xml:space="preserve">Produire une démonstration mathématique ou un calcul sur tableur ou un programme en Python pour prouver ou constater que les probabilités des génotypes sont constantes à partir de la seconde génération (modèle de Hardy-Weinberg).  </w:t>
            </w:r>
          </w:p>
          <w:p w14:paraId="7E0E6AC2" w14:textId="77777777" w:rsidR="00BA4470" w:rsidRDefault="00BA4470" w:rsidP="00BA4470">
            <w:pPr>
              <w:spacing w:after="120" w:line="276" w:lineRule="auto"/>
              <w:ind w:left="1"/>
            </w:pPr>
            <w:r>
              <w:rPr>
                <w:sz w:val="22"/>
              </w:rPr>
              <w:t xml:space="preserve">Utiliser des logiciels de simulation basés sur ce modèle mathématique. </w:t>
            </w:r>
          </w:p>
          <w:p w14:paraId="0A228ED7" w14:textId="77777777" w:rsidR="00BA4470" w:rsidRDefault="00BA4470" w:rsidP="00BA4470">
            <w:pPr>
              <w:spacing w:line="259" w:lineRule="auto"/>
              <w:ind w:left="1" w:right="48"/>
              <w:rPr>
                <w:color w:val="008000"/>
                <w:sz w:val="22"/>
              </w:rPr>
            </w:pPr>
            <w:r>
              <w:rPr>
                <w:sz w:val="22"/>
              </w:rPr>
              <w:t>Analyser une situation d’évolution biologique expliquant un écart par rapport au modèle de Hardy Weinberg.</w:t>
            </w:r>
            <w:r>
              <w:rPr>
                <w:color w:val="008000"/>
                <w:sz w:val="22"/>
              </w:rPr>
              <w:t xml:space="preserve"> </w:t>
            </w:r>
          </w:p>
          <w:p w14:paraId="6ACE730B" w14:textId="77777777" w:rsidR="00BA4470" w:rsidRDefault="00BA4470" w:rsidP="00BA4470">
            <w:pPr>
              <w:spacing w:after="241" w:line="275" w:lineRule="auto"/>
              <w:ind w:left="1" w:right="49"/>
              <w:rPr>
                <w:sz w:val="22"/>
              </w:rPr>
            </w:pPr>
            <w:r>
              <w:rPr>
                <w:sz w:val="22"/>
              </w:rPr>
              <w:t xml:space="preserve">Utiliser un modèle géométrique simple (quadrillage) pour calculer l’impact d’une fragmentation sur la surface disponible pour une espèce.  </w:t>
            </w:r>
          </w:p>
          <w:p w14:paraId="0D205BE5" w14:textId="77777777" w:rsidR="00BA4470" w:rsidRPr="00F0177A" w:rsidRDefault="00BA4470" w:rsidP="00BA4470">
            <w:pPr>
              <w:spacing w:after="241" w:line="275" w:lineRule="auto"/>
              <w:ind w:left="1" w:right="49"/>
            </w:pPr>
          </w:p>
          <w:p w14:paraId="2D720D13" w14:textId="77777777" w:rsidR="00BA4470" w:rsidRDefault="00BA4470" w:rsidP="00BA4470">
            <w:pPr>
              <w:spacing w:line="275" w:lineRule="auto"/>
              <w:ind w:left="1" w:right="50"/>
              <w:rPr>
                <w:sz w:val="22"/>
              </w:rPr>
            </w:pPr>
          </w:p>
          <w:p w14:paraId="0B6C642D" w14:textId="77777777" w:rsidR="00BA4470" w:rsidRDefault="00BA4470" w:rsidP="00BA4470">
            <w:pPr>
              <w:spacing w:line="275" w:lineRule="auto"/>
              <w:ind w:left="1" w:right="50"/>
              <w:rPr>
                <w:sz w:val="22"/>
              </w:rPr>
            </w:pPr>
          </w:p>
          <w:p w14:paraId="584BD6C2" w14:textId="77777777" w:rsidR="00BA4470" w:rsidRDefault="00BA4470" w:rsidP="00BA4470">
            <w:pPr>
              <w:spacing w:line="275" w:lineRule="auto"/>
              <w:ind w:left="1" w:right="50"/>
            </w:pPr>
          </w:p>
          <w:p w14:paraId="707AA418" w14:textId="77777777" w:rsidR="00BA4470" w:rsidRDefault="00BA4470" w:rsidP="00BA4470">
            <w:pPr>
              <w:spacing w:after="241" w:line="275" w:lineRule="auto"/>
              <w:ind w:left="1" w:right="53"/>
            </w:pPr>
            <w:r>
              <w:rPr>
                <w:sz w:val="22"/>
              </w:rPr>
              <w:t xml:space="preserve">À partir d’un logiciel de simulation, montrer l’impact d’un faible effectif de population sur la dérive génétique et l’évolution rapide des fréquences alléliques.  </w:t>
            </w:r>
          </w:p>
          <w:p w14:paraId="2BF621D5" w14:textId="77777777" w:rsidR="00BA4470" w:rsidRDefault="00BA4470" w:rsidP="00BA4470">
            <w:pPr>
              <w:spacing w:after="241" w:line="275" w:lineRule="auto"/>
              <w:ind w:left="1" w:right="51"/>
            </w:pPr>
            <w:r>
              <w:rPr>
                <w:sz w:val="22"/>
              </w:rPr>
              <w:t xml:space="preserve">Analyser des documents pour comprendre les mesures de protection de populations à faibles effectifs. </w:t>
            </w:r>
          </w:p>
          <w:p w14:paraId="1C7CBEA0" w14:textId="77777777" w:rsidR="00BA4470" w:rsidRDefault="00BA4470" w:rsidP="00BA4470">
            <w:pPr>
              <w:spacing w:line="275" w:lineRule="auto"/>
              <w:ind w:left="1" w:right="50"/>
              <w:rPr>
                <w:sz w:val="22"/>
              </w:rPr>
            </w:pPr>
            <w:r>
              <w:rPr>
                <w:sz w:val="22"/>
              </w:rPr>
              <w:t xml:space="preserve">Identifier des critères de gestion durable d’un écosystème. Envisager des solutions pour un environnement proche. </w:t>
            </w:r>
          </w:p>
          <w:p w14:paraId="506D8E60" w14:textId="77777777" w:rsidR="00BA4470" w:rsidRDefault="00BA4470" w:rsidP="00BA4470"/>
        </w:tc>
        <w:tc>
          <w:tcPr>
            <w:tcW w:w="2830" w:type="dxa"/>
            <w:vMerge/>
          </w:tcPr>
          <w:p w14:paraId="15FBCE12" w14:textId="77777777" w:rsidR="00BA4470" w:rsidRDefault="00BA4470" w:rsidP="00BA4470"/>
        </w:tc>
        <w:tc>
          <w:tcPr>
            <w:tcW w:w="2405" w:type="dxa"/>
            <w:vMerge/>
          </w:tcPr>
          <w:p w14:paraId="781D502B" w14:textId="77777777" w:rsidR="00BA4470" w:rsidRDefault="00BA4470" w:rsidP="00BA4470"/>
        </w:tc>
        <w:tc>
          <w:tcPr>
            <w:tcW w:w="2977" w:type="dxa"/>
            <w:vMerge/>
          </w:tcPr>
          <w:p w14:paraId="17997457" w14:textId="77777777" w:rsidR="00BA4470" w:rsidRDefault="00BA4470" w:rsidP="00BA4470"/>
        </w:tc>
      </w:tr>
      <w:tr w:rsidR="00BA4470" w14:paraId="6DFDD27B" w14:textId="77777777" w:rsidTr="7C9A0712">
        <w:tc>
          <w:tcPr>
            <w:tcW w:w="14601" w:type="dxa"/>
            <w:gridSpan w:val="5"/>
          </w:tcPr>
          <w:p w14:paraId="2421AE18" w14:textId="77777777" w:rsidR="00BA4470" w:rsidRPr="00B6224E" w:rsidRDefault="00BA4470" w:rsidP="00BA4470">
            <w:pPr>
              <w:pStyle w:val="Default"/>
              <w:rPr>
                <w:sz w:val="22"/>
                <w:szCs w:val="22"/>
              </w:rPr>
            </w:pPr>
          </w:p>
          <w:p w14:paraId="7231BD09" w14:textId="77777777" w:rsidR="00BA4470" w:rsidRDefault="00BA4470" w:rsidP="00BA4470">
            <w:pPr>
              <w:spacing w:after="120" w:line="259" w:lineRule="auto"/>
            </w:pPr>
            <w:r>
              <w:rPr>
                <w:b/>
                <w:color w:val="007F9F"/>
              </w:rPr>
              <w:t xml:space="preserve">Prérequis et limites  </w:t>
            </w:r>
          </w:p>
          <w:p w14:paraId="3B20A244" w14:textId="792DE493" w:rsidR="00BA4470" w:rsidRPr="00B6224E" w:rsidRDefault="00BA4470" w:rsidP="00BA4470">
            <w:pPr>
              <w:rPr>
                <w:rFonts w:ascii="Arial" w:hAnsi="Arial" w:cs="Arial"/>
                <w:sz w:val="22"/>
                <w:szCs w:val="22"/>
              </w:rPr>
            </w:pPr>
            <w:r>
              <w:rPr>
                <w:sz w:val="22"/>
              </w:rPr>
              <w:t>Les notions déjà connues de gènes et d’allèles, de diversité allélique, de sélection naturelle, de dérive génétique, de calcul de probabilités et de fluctuation d’échantillonnage sont mobilisées (classe de seconde</w:t>
            </w:r>
          </w:p>
        </w:tc>
      </w:tr>
      <w:tr w:rsidR="00BA4470" w14:paraId="0E52ED70" w14:textId="77777777" w:rsidTr="7C9A0712">
        <w:tc>
          <w:tcPr>
            <w:tcW w:w="14601" w:type="dxa"/>
            <w:gridSpan w:val="5"/>
          </w:tcPr>
          <w:p w14:paraId="0F1CA005" w14:textId="4CC64001" w:rsidR="00BA4470" w:rsidRDefault="00BA4470" w:rsidP="00BA4470">
            <w:pPr>
              <w:spacing w:after="75" w:line="259" w:lineRule="auto"/>
            </w:pPr>
            <w:r>
              <w:rPr>
                <w:b/>
                <w:color w:val="007F9F"/>
              </w:rPr>
              <w:t xml:space="preserve">3.2 L’évolution comme grille de lecture du monde </w:t>
            </w:r>
          </w:p>
          <w:p w14:paraId="3D80B956" w14:textId="58338D72" w:rsidR="00BA4470" w:rsidRDefault="00BA4470" w:rsidP="00BA4470">
            <w:pPr>
              <w:spacing w:before="72"/>
              <w:ind w:left="34"/>
            </w:pPr>
            <w:r>
              <w:rPr>
                <w:i/>
                <w:sz w:val="22"/>
              </w:rPr>
              <w:t>Les concepts de biologie évolutive ont une large portée explicative, présentée ici à travers plusieurs exemples. Ils permettent de comprendre l’anatomie comme le résultat d’une longue histoire évolutive, faite d’adaptations, de hasard, de contingences et de compromis. Les concepts de variation et de sélection naturelle éclairent des pratiques humaines (médicales et agricoles) et certaines de leurs conséquences.</w:t>
            </w:r>
          </w:p>
        </w:tc>
      </w:tr>
      <w:tr w:rsidR="00BA4470" w14:paraId="288032B9" w14:textId="77777777" w:rsidTr="7C9A0712">
        <w:tc>
          <w:tcPr>
            <w:tcW w:w="3402" w:type="dxa"/>
            <w:vAlign w:val="center"/>
          </w:tcPr>
          <w:p w14:paraId="1E6BA952" w14:textId="77777777" w:rsidR="00BA4470" w:rsidRDefault="00BA4470" w:rsidP="00BA4470">
            <w:r>
              <w:rPr>
                <w:rFonts w:ascii="Arial" w:hAnsi="Arial" w:cs="Arial"/>
                <w:b/>
                <w:bCs/>
                <w:sz w:val="22"/>
                <w:szCs w:val="22"/>
              </w:rPr>
              <w:lastRenderedPageBreak/>
              <w:t>Savoirs</w:t>
            </w:r>
          </w:p>
        </w:tc>
        <w:tc>
          <w:tcPr>
            <w:tcW w:w="2987" w:type="dxa"/>
            <w:vAlign w:val="center"/>
          </w:tcPr>
          <w:p w14:paraId="234B7B25" w14:textId="77777777" w:rsidR="00BA4470" w:rsidRDefault="00BA4470" w:rsidP="00BA4470">
            <w:r>
              <w:rPr>
                <w:rFonts w:ascii="Arial" w:hAnsi="Arial" w:cs="Arial"/>
                <w:b/>
                <w:bCs/>
                <w:sz w:val="22"/>
                <w:szCs w:val="22"/>
              </w:rPr>
              <w:t>Savoir-faire</w:t>
            </w:r>
          </w:p>
        </w:tc>
        <w:tc>
          <w:tcPr>
            <w:tcW w:w="2830" w:type="dxa"/>
            <w:shd w:val="clear" w:color="auto" w:fill="BDD6EE" w:themeFill="accent5" w:themeFillTint="66"/>
          </w:tcPr>
          <w:p w14:paraId="21BFF171" w14:textId="77777777" w:rsidR="00BA4470" w:rsidRDefault="00BA4470" w:rsidP="00BA4470">
            <w:r>
              <w:rPr>
                <w:rFonts w:asciiTheme="minorHAnsi" w:hAnsiTheme="minorHAnsi" w:cstheme="minorHAnsi"/>
                <w:b/>
              </w:rPr>
              <w:t>Capacités exigibles de remobilisables</w:t>
            </w:r>
          </w:p>
        </w:tc>
        <w:tc>
          <w:tcPr>
            <w:tcW w:w="2405" w:type="dxa"/>
          </w:tcPr>
          <w:p w14:paraId="5B9E3BF7" w14:textId="77777777" w:rsidR="00BA4470" w:rsidRDefault="00BA4470" w:rsidP="00BA4470">
            <w:r w:rsidRPr="000C5D32">
              <w:rPr>
                <w:rFonts w:asciiTheme="minorHAnsi" w:hAnsiTheme="minorHAnsi" w:cstheme="minorHAnsi"/>
                <w:b/>
              </w:rPr>
              <w:t>S</w:t>
            </w:r>
            <w:r>
              <w:rPr>
                <w:rFonts w:asciiTheme="minorHAnsi" w:hAnsiTheme="minorHAnsi" w:cstheme="minorHAnsi"/>
                <w:b/>
              </w:rPr>
              <w:t>aut conceptuel en terminale</w:t>
            </w:r>
          </w:p>
        </w:tc>
        <w:tc>
          <w:tcPr>
            <w:tcW w:w="2977" w:type="dxa"/>
          </w:tcPr>
          <w:p w14:paraId="606F4A3F" w14:textId="77777777" w:rsidR="00BA4470" w:rsidRDefault="00BA4470" w:rsidP="00BA4470">
            <w:r w:rsidRPr="007F4857">
              <w:rPr>
                <w:rFonts w:asciiTheme="minorHAnsi" w:hAnsiTheme="minorHAnsi" w:cstheme="minorHAnsi"/>
                <w:b/>
              </w:rPr>
              <w:t>Liens avec les programmes de spécialité</w:t>
            </w:r>
          </w:p>
        </w:tc>
      </w:tr>
      <w:tr w:rsidR="00BA4470" w14:paraId="56274883" w14:textId="77777777" w:rsidTr="7C9A0712">
        <w:tc>
          <w:tcPr>
            <w:tcW w:w="3402" w:type="dxa"/>
          </w:tcPr>
          <w:p w14:paraId="42B3C7CE" w14:textId="77777777" w:rsidR="00BA4470" w:rsidRDefault="00BA4470" w:rsidP="00BA4470">
            <w:pPr>
              <w:spacing w:after="118" w:line="275" w:lineRule="auto"/>
              <w:ind w:right="49"/>
            </w:pPr>
            <w:r>
              <w:rPr>
                <w:sz w:val="22"/>
              </w:rPr>
              <w:t>Les structures anatomiques présentent des particularités surprenantes d’un point de vue fonctionnel, pouvant paraître sans fonction avérée ou bien d’une étonnante complexité. Elles témoignent de l’évolution des espèces, dont la nôtre. Les caractères anatomiques peuvent être le résultat de la sélection naturelle mais certains sont mieux expliqués par l’héritage de l’histoire évolutive que par leur fonction</w:t>
            </w:r>
            <w:r>
              <w:rPr>
                <w:rFonts w:eastAsia="Times New Roman"/>
                <w:sz w:val="16"/>
              </w:rPr>
              <w:t>.</w:t>
            </w:r>
            <w:r>
              <w:rPr>
                <w:sz w:val="22"/>
              </w:rPr>
              <w:t xml:space="preserve"> </w:t>
            </w:r>
          </w:p>
          <w:p w14:paraId="0604FB23" w14:textId="77777777" w:rsidR="00BA4470" w:rsidRDefault="00BA4470" w:rsidP="00BA4470">
            <w:pPr>
              <w:spacing w:line="276" w:lineRule="auto"/>
            </w:pPr>
            <w:r>
              <w:rPr>
                <w:sz w:val="22"/>
              </w:rPr>
              <w:t xml:space="preserve">L’évolution permet de comprendre des phénomènes biologiques ayant une importance médicale. </w:t>
            </w:r>
          </w:p>
          <w:p w14:paraId="08232444" w14:textId="77777777" w:rsidR="00BA4470" w:rsidRDefault="00BA4470" w:rsidP="00BA4470">
            <w:pPr>
              <w:spacing w:after="121" w:line="275" w:lineRule="auto"/>
              <w:ind w:right="51"/>
            </w:pPr>
            <w:r>
              <w:rPr>
                <w:sz w:val="22"/>
              </w:rPr>
              <w:t xml:space="preserve">L’évolution rapide des organismes microbiens nécessite d’adapter les stratégies prophylactiques, les vaccins et les antibiotiques.  </w:t>
            </w:r>
          </w:p>
          <w:p w14:paraId="5926A2E5" w14:textId="4733012C" w:rsidR="00BA4470" w:rsidRPr="00981ECE" w:rsidRDefault="00BA4470" w:rsidP="00BA4470">
            <w:pPr>
              <w:pStyle w:val="Default"/>
            </w:pPr>
            <w:r>
              <w:rPr>
                <w:sz w:val="22"/>
              </w:rPr>
              <w:t xml:space="preserve">Depuis la révolution agricole, la pratique intensive de la monoculture, la domestication et l’utilisation de </w:t>
            </w:r>
          </w:p>
        </w:tc>
        <w:tc>
          <w:tcPr>
            <w:tcW w:w="2987" w:type="dxa"/>
            <w:vAlign w:val="center"/>
          </w:tcPr>
          <w:p w14:paraId="0AC0BEDE" w14:textId="77777777" w:rsidR="00BA4470" w:rsidRDefault="00BA4470" w:rsidP="00BA4470">
            <w:pPr>
              <w:spacing w:after="121" w:line="275" w:lineRule="auto"/>
              <w:ind w:left="1" w:right="49"/>
            </w:pPr>
            <w:r>
              <w:rPr>
                <w:sz w:val="22"/>
              </w:rPr>
              <w:t xml:space="preserve">Expliquer l’origine d’une structure anatomique en mobilisant les concepts de hasard, de variation, de sélection naturelle et d’adaptation (exemple de l’œil). </w:t>
            </w:r>
          </w:p>
          <w:p w14:paraId="1F6701DF" w14:textId="77777777" w:rsidR="00BA4470" w:rsidRDefault="00BA4470" w:rsidP="00BA4470">
            <w:pPr>
              <w:spacing w:after="121" w:line="275" w:lineRule="auto"/>
              <w:ind w:left="1" w:right="50"/>
            </w:pPr>
            <w:r>
              <w:rPr>
                <w:sz w:val="22"/>
              </w:rPr>
              <w:t xml:space="preserve">Interpréter des caractéristiques anatomiques humaines en relation avec des contraintes historiques (comme le trajet de la crosse aortique), des contraintes de construction (comme le téton masculin), des compromis sélectifs (comme les difficultés obstétriques) ou des régressions en cours (comme les dents de sagesse).  </w:t>
            </w:r>
          </w:p>
          <w:p w14:paraId="4DBF9CD4" w14:textId="77777777" w:rsidR="00BA4470" w:rsidRDefault="00BA4470" w:rsidP="00BA4470">
            <w:pPr>
              <w:spacing w:after="136" w:line="259" w:lineRule="auto"/>
              <w:ind w:left="1"/>
            </w:pPr>
            <w:r>
              <w:rPr>
                <w:sz w:val="22"/>
              </w:rPr>
              <w:t xml:space="preserve"> </w:t>
            </w:r>
          </w:p>
          <w:p w14:paraId="60C67B74" w14:textId="4AF06288" w:rsidR="00BA4470" w:rsidRPr="00981ECE" w:rsidRDefault="00BA4470" w:rsidP="00BA4470">
            <w:pPr>
              <w:rPr>
                <w:rFonts w:ascii="Arial" w:hAnsi="Arial" w:cs="Arial"/>
              </w:rPr>
            </w:pPr>
            <w:r>
              <w:rPr>
                <w:sz w:val="22"/>
              </w:rPr>
              <w:t xml:space="preserve">Mobiliser des concepts évolutionnistes pour expliquer comment des populations microbiennes pourront à longue échéance ne plus être sensibles à un vaccin (ou </w:t>
            </w:r>
          </w:p>
        </w:tc>
        <w:tc>
          <w:tcPr>
            <w:tcW w:w="2830" w:type="dxa"/>
            <w:vMerge w:val="restart"/>
            <w:shd w:val="clear" w:color="auto" w:fill="BDD6EE" w:themeFill="accent5" w:themeFillTint="66"/>
          </w:tcPr>
          <w:p w14:paraId="397AF612" w14:textId="77777777" w:rsidR="00BA4470" w:rsidRDefault="00BA4470" w:rsidP="00BA4470"/>
        </w:tc>
        <w:tc>
          <w:tcPr>
            <w:tcW w:w="2405" w:type="dxa"/>
            <w:vMerge w:val="restart"/>
          </w:tcPr>
          <w:p w14:paraId="3D3EDDB7" w14:textId="77777777" w:rsidR="00BA4470" w:rsidRDefault="00BA4470" w:rsidP="00BA4470"/>
        </w:tc>
        <w:tc>
          <w:tcPr>
            <w:tcW w:w="2977" w:type="dxa"/>
            <w:vMerge w:val="restart"/>
          </w:tcPr>
          <w:p w14:paraId="2FCC92C4" w14:textId="77777777" w:rsidR="00BA4470" w:rsidRDefault="00BA4470" w:rsidP="00BA4470"/>
        </w:tc>
      </w:tr>
      <w:tr w:rsidR="00BA4470" w14:paraId="2DC34F99" w14:textId="77777777" w:rsidTr="7C9A0712">
        <w:tc>
          <w:tcPr>
            <w:tcW w:w="3402" w:type="dxa"/>
          </w:tcPr>
          <w:p w14:paraId="3C15A53A" w14:textId="332D0464" w:rsidR="00BA4470" w:rsidRPr="00981ECE" w:rsidRDefault="00BA4470" w:rsidP="00BA4470">
            <w:pPr>
              <w:rPr>
                <w:rFonts w:ascii="Arial" w:hAnsi="Arial" w:cs="Arial"/>
              </w:rPr>
            </w:pPr>
            <w:r>
              <w:rPr>
                <w:sz w:val="22"/>
              </w:rPr>
              <w:t xml:space="preserve">produits phytosanitaires ont un impact sur la biodiversité et son </w:t>
            </w:r>
            <w:r>
              <w:rPr>
                <w:sz w:val="22"/>
              </w:rPr>
              <w:lastRenderedPageBreak/>
              <w:t xml:space="preserve">évolution.  </w:t>
            </w:r>
          </w:p>
        </w:tc>
        <w:tc>
          <w:tcPr>
            <w:tcW w:w="2987" w:type="dxa"/>
          </w:tcPr>
          <w:p w14:paraId="25708188" w14:textId="799CA3AE" w:rsidR="00BA4470" w:rsidRPr="00981ECE" w:rsidRDefault="00BA4470" w:rsidP="00BA4470">
            <w:pPr>
              <w:rPr>
                <w:rFonts w:ascii="Arial" w:hAnsi="Arial" w:cs="Arial"/>
              </w:rPr>
            </w:pPr>
            <w:r>
              <w:rPr>
                <w:sz w:val="22"/>
              </w:rPr>
              <w:lastRenderedPageBreak/>
              <w:t xml:space="preserve">un antibiotique) ou comment l’utilisation de produits </w:t>
            </w:r>
            <w:r>
              <w:rPr>
                <w:sz w:val="22"/>
              </w:rPr>
              <w:lastRenderedPageBreak/>
              <w:t xml:space="preserve">phytosanitaires favorise le développement de ravageurs des cultures qui y sont résistants. </w:t>
            </w:r>
          </w:p>
        </w:tc>
        <w:tc>
          <w:tcPr>
            <w:tcW w:w="2830" w:type="dxa"/>
            <w:vMerge/>
          </w:tcPr>
          <w:p w14:paraId="6826019D" w14:textId="77777777" w:rsidR="00BA4470" w:rsidRDefault="00BA4470" w:rsidP="00BA4470"/>
        </w:tc>
        <w:tc>
          <w:tcPr>
            <w:tcW w:w="2405" w:type="dxa"/>
            <w:vMerge/>
          </w:tcPr>
          <w:p w14:paraId="1518E19E" w14:textId="77777777" w:rsidR="00BA4470" w:rsidRDefault="00BA4470" w:rsidP="00BA4470"/>
        </w:tc>
        <w:tc>
          <w:tcPr>
            <w:tcW w:w="2977" w:type="dxa"/>
            <w:vMerge/>
          </w:tcPr>
          <w:p w14:paraId="76942E5B" w14:textId="77777777" w:rsidR="00BA4470" w:rsidRDefault="00BA4470" w:rsidP="00BA4470"/>
        </w:tc>
      </w:tr>
      <w:tr w:rsidR="00BA4470" w14:paraId="57263D33" w14:textId="77777777" w:rsidTr="7C9A0712">
        <w:tc>
          <w:tcPr>
            <w:tcW w:w="14601" w:type="dxa"/>
            <w:gridSpan w:val="5"/>
            <w:vAlign w:val="center"/>
          </w:tcPr>
          <w:p w14:paraId="5BAFD67E" w14:textId="77777777" w:rsidR="00BA4470" w:rsidRDefault="00BA4470" w:rsidP="00BA4470">
            <w:pPr>
              <w:spacing w:after="118" w:line="259" w:lineRule="auto"/>
            </w:pPr>
            <w:r>
              <w:rPr>
                <w:b/>
                <w:color w:val="007F9F"/>
              </w:rPr>
              <w:t xml:space="preserve">Prérequis et limites </w:t>
            </w:r>
          </w:p>
          <w:p w14:paraId="420BBB89" w14:textId="03C493B1" w:rsidR="00BA4470" w:rsidRDefault="00BA4470" w:rsidP="00BA4470">
            <w:r>
              <w:rPr>
                <w:sz w:val="22"/>
              </w:rPr>
              <w:t xml:space="preserve">Il n’est pas attendu de développement spécifique en matière d’embryologie ou d’agronomie. </w:t>
            </w:r>
          </w:p>
        </w:tc>
      </w:tr>
      <w:tr w:rsidR="00BA4470" w14:paraId="2B93E1AE" w14:textId="77777777" w:rsidTr="7C9A0712">
        <w:tc>
          <w:tcPr>
            <w:tcW w:w="14601" w:type="dxa"/>
            <w:gridSpan w:val="5"/>
            <w:vAlign w:val="center"/>
          </w:tcPr>
          <w:p w14:paraId="2762A0B4" w14:textId="77777777" w:rsidR="00BA4470" w:rsidRDefault="00BA4470" w:rsidP="00BA4470">
            <w:pPr>
              <w:spacing w:after="75" w:line="259" w:lineRule="auto"/>
            </w:pPr>
            <w:r>
              <w:rPr>
                <w:b/>
                <w:color w:val="007F9F"/>
              </w:rPr>
              <w:t>3.3 L’évolution humaine</w:t>
            </w:r>
            <w:r>
              <w:rPr>
                <w:color w:val="0070C0"/>
              </w:rPr>
              <w:t xml:space="preserve"> </w:t>
            </w:r>
          </w:p>
          <w:p w14:paraId="7106C3D6" w14:textId="0DBBE419" w:rsidR="00BA4470" w:rsidRDefault="00BA4470" w:rsidP="00BA4470">
            <w:pPr>
              <w:spacing w:before="72"/>
              <w:ind w:left="34"/>
            </w:pPr>
            <w:r>
              <w:rPr>
                <w:i/>
                <w:sz w:val="22"/>
              </w:rPr>
              <w:t>La paléoanthropologie construit un récit scientifique de nos origines à partir des archives fossiles. La phylogénie permet d’étudier les relations de parenté entre les espèces actuelles et fossiles d’Hominidés.</w:t>
            </w:r>
            <w:r>
              <w:rPr>
                <w:b/>
                <w:color w:val="0070C0"/>
                <w:sz w:val="22"/>
              </w:rPr>
              <w:t xml:space="preserve"> </w:t>
            </w:r>
          </w:p>
        </w:tc>
      </w:tr>
      <w:tr w:rsidR="00BA4470" w14:paraId="5479889A" w14:textId="77777777" w:rsidTr="7C9A0712">
        <w:tc>
          <w:tcPr>
            <w:tcW w:w="3402" w:type="dxa"/>
            <w:vAlign w:val="center"/>
          </w:tcPr>
          <w:p w14:paraId="63458A47" w14:textId="77777777" w:rsidR="00BA4470" w:rsidRDefault="00BA4470" w:rsidP="00BA4470">
            <w:r>
              <w:rPr>
                <w:rFonts w:ascii="Arial" w:hAnsi="Arial" w:cs="Arial"/>
                <w:b/>
                <w:bCs/>
                <w:sz w:val="22"/>
                <w:szCs w:val="22"/>
              </w:rPr>
              <w:t>Savoirs</w:t>
            </w:r>
          </w:p>
        </w:tc>
        <w:tc>
          <w:tcPr>
            <w:tcW w:w="2987" w:type="dxa"/>
            <w:vAlign w:val="center"/>
          </w:tcPr>
          <w:p w14:paraId="7DD6BD3A" w14:textId="77777777" w:rsidR="00BA4470" w:rsidRDefault="00BA4470" w:rsidP="00BA4470">
            <w:r>
              <w:rPr>
                <w:rFonts w:ascii="Arial" w:hAnsi="Arial" w:cs="Arial"/>
                <w:b/>
                <w:bCs/>
                <w:sz w:val="22"/>
                <w:szCs w:val="22"/>
              </w:rPr>
              <w:t>Savoir-faire</w:t>
            </w:r>
          </w:p>
        </w:tc>
        <w:tc>
          <w:tcPr>
            <w:tcW w:w="2830" w:type="dxa"/>
            <w:shd w:val="clear" w:color="auto" w:fill="BDD6EE" w:themeFill="accent5" w:themeFillTint="66"/>
          </w:tcPr>
          <w:p w14:paraId="32264871" w14:textId="77777777" w:rsidR="00BA4470" w:rsidRDefault="00BA4470" w:rsidP="00BA4470">
            <w:r>
              <w:rPr>
                <w:rFonts w:asciiTheme="minorHAnsi" w:hAnsiTheme="minorHAnsi" w:cstheme="minorHAnsi"/>
                <w:b/>
              </w:rPr>
              <w:t>Capacités exigibles de remobilisables</w:t>
            </w:r>
          </w:p>
        </w:tc>
        <w:tc>
          <w:tcPr>
            <w:tcW w:w="2405" w:type="dxa"/>
          </w:tcPr>
          <w:p w14:paraId="01B5DFF6" w14:textId="77777777" w:rsidR="00BA4470" w:rsidRDefault="00BA4470" w:rsidP="00BA4470">
            <w:r w:rsidRPr="000C5D32">
              <w:rPr>
                <w:rFonts w:asciiTheme="minorHAnsi" w:hAnsiTheme="minorHAnsi" w:cstheme="minorHAnsi"/>
                <w:b/>
              </w:rPr>
              <w:t>S</w:t>
            </w:r>
            <w:r>
              <w:rPr>
                <w:rFonts w:asciiTheme="minorHAnsi" w:hAnsiTheme="minorHAnsi" w:cstheme="minorHAnsi"/>
                <w:b/>
              </w:rPr>
              <w:t>aut conceptuel en terminale</w:t>
            </w:r>
          </w:p>
        </w:tc>
        <w:tc>
          <w:tcPr>
            <w:tcW w:w="2977" w:type="dxa"/>
          </w:tcPr>
          <w:p w14:paraId="395D89BA" w14:textId="77777777" w:rsidR="00BA4470" w:rsidRDefault="00BA4470" w:rsidP="00BA4470">
            <w:r w:rsidRPr="007F4857">
              <w:rPr>
                <w:rFonts w:asciiTheme="minorHAnsi" w:hAnsiTheme="minorHAnsi" w:cstheme="minorHAnsi"/>
                <w:b/>
              </w:rPr>
              <w:t>Liens avec les programmes de spécialité</w:t>
            </w:r>
          </w:p>
        </w:tc>
      </w:tr>
      <w:tr w:rsidR="00BA4470" w14:paraId="4912B847" w14:textId="77777777" w:rsidTr="7C9A0712">
        <w:tc>
          <w:tcPr>
            <w:tcW w:w="3402" w:type="dxa"/>
            <w:vAlign w:val="bottom"/>
          </w:tcPr>
          <w:p w14:paraId="4A0F2E43" w14:textId="77777777" w:rsidR="00BA4470" w:rsidRDefault="00BA4470" w:rsidP="00BA4470">
            <w:pPr>
              <w:spacing w:after="117" w:line="239" w:lineRule="auto"/>
              <w:ind w:right="48"/>
            </w:pPr>
            <w:r>
              <w:rPr>
                <w:sz w:val="22"/>
              </w:rPr>
              <w:t>L’espèce humaine actuelle (</w:t>
            </w:r>
            <w:r>
              <w:rPr>
                <w:i/>
                <w:sz w:val="22"/>
              </w:rPr>
              <w:t>Homo sapiens</w:t>
            </w:r>
            <w:r>
              <w:rPr>
                <w:sz w:val="22"/>
              </w:rPr>
              <w:t xml:space="preserve">) fait partie du groupe des primates et est plus particulièrement apparentée aux grands singes avec lesquels elle partage des caractères morpho-anatomiques et des similitudes génétiques.  </w:t>
            </w:r>
          </w:p>
          <w:p w14:paraId="557A593B" w14:textId="436EA139" w:rsidR="00BA4470" w:rsidRPr="00DB499F" w:rsidRDefault="00BA4470" w:rsidP="00BA4470">
            <w:pPr>
              <w:rPr>
                <w:rFonts w:ascii="Arial" w:hAnsi="Arial" w:cs="Arial"/>
              </w:rPr>
            </w:pPr>
            <w:r>
              <w:rPr>
                <w:sz w:val="22"/>
              </w:rPr>
              <w:t xml:space="preserve">C’est avec le chimpanzé qu’elle partage le plus récent ancêtre commun.  </w:t>
            </w:r>
          </w:p>
        </w:tc>
        <w:tc>
          <w:tcPr>
            <w:tcW w:w="2987" w:type="dxa"/>
          </w:tcPr>
          <w:p w14:paraId="062BDC3B" w14:textId="77777777" w:rsidR="00BA4470" w:rsidRDefault="00BA4470" w:rsidP="00BA4470">
            <w:pPr>
              <w:spacing w:after="120"/>
              <w:ind w:left="1" w:right="49"/>
            </w:pPr>
            <w:r>
              <w:rPr>
                <w:sz w:val="22"/>
              </w:rPr>
              <w:t xml:space="preserve">Analyser des matrices de comparaison de caractères morpho-anatomiques résultant d’innovations évolutives afin d’établir des liens de parenté et de construire un arbre phylogénétique. </w:t>
            </w:r>
          </w:p>
          <w:p w14:paraId="51BE0BBE" w14:textId="5BAC72B6" w:rsidR="00BA4470" w:rsidRPr="00DB499F" w:rsidRDefault="00BA4470" w:rsidP="00BA4470">
            <w:pPr>
              <w:pStyle w:val="Default"/>
            </w:pPr>
            <w:r>
              <w:rPr>
                <w:sz w:val="22"/>
              </w:rPr>
              <w:t xml:space="preserve">Mettre en relation la ressemblance génétique entre les espèces de primates et leur degré de parenté. </w:t>
            </w:r>
          </w:p>
        </w:tc>
        <w:tc>
          <w:tcPr>
            <w:tcW w:w="2830" w:type="dxa"/>
            <w:vMerge w:val="restart"/>
            <w:tcBorders>
              <w:top w:val="single" w:sz="4" w:space="0" w:color="auto"/>
            </w:tcBorders>
            <w:shd w:val="clear" w:color="auto" w:fill="BDD6EE" w:themeFill="accent5" w:themeFillTint="66"/>
          </w:tcPr>
          <w:p w14:paraId="02D553AA" w14:textId="77777777" w:rsidR="00BA4470" w:rsidRDefault="00BA4470" w:rsidP="00BA4470">
            <w:pPr>
              <w:rPr>
                <w:color w:val="538135" w:themeColor="accent6" w:themeShade="BF"/>
              </w:rPr>
            </w:pPr>
          </w:p>
          <w:p w14:paraId="4CF759DA" w14:textId="77777777" w:rsidR="00BA4470" w:rsidRDefault="00BA4470" w:rsidP="00BA4470"/>
        </w:tc>
        <w:tc>
          <w:tcPr>
            <w:tcW w:w="2405" w:type="dxa"/>
            <w:vMerge w:val="restart"/>
          </w:tcPr>
          <w:p w14:paraId="483EE9C5" w14:textId="77777777" w:rsidR="00BA4470" w:rsidRDefault="00BA4470" w:rsidP="00BA4470"/>
        </w:tc>
        <w:tc>
          <w:tcPr>
            <w:tcW w:w="2977" w:type="dxa"/>
            <w:vMerge w:val="restart"/>
          </w:tcPr>
          <w:p w14:paraId="309B18CA" w14:textId="77777777" w:rsidR="00BA4470" w:rsidRDefault="00BA4470" w:rsidP="00BA4470"/>
        </w:tc>
      </w:tr>
      <w:tr w:rsidR="00BA4470" w14:paraId="49AB5D05" w14:textId="77777777" w:rsidTr="7C9A0712">
        <w:tc>
          <w:tcPr>
            <w:tcW w:w="3402" w:type="dxa"/>
            <w:vAlign w:val="bottom"/>
          </w:tcPr>
          <w:p w14:paraId="01B9A190" w14:textId="77777777" w:rsidR="00BA4470" w:rsidRDefault="00BA4470" w:rsidP="00BA4470">
            <w:pPr>
              <w:spacing w:after="120" w:line="239" w:lineRule="auto"/>
              <w:ind w:right="50"/>
            </w:pPr>
            <w:r>
              <w:rPr>
                <w:sz w:val="22"/>
              </w:rPr>
              <w:t xml:space="preserve">Des arguments scientifiques issus de l’analyse comparée de fossiles permettent de reconstituer l’histoire de nos origines. </w:t>
            </w:r>
          </w:p>
          <w:p w14:paraId="4977C4F0" w14:textId="77777777" w:rsidR="00BA4470" w:rsidRDefault="00BA4470" w:rsidP="00BA4470">
            <w:pPr>
              <w:spacing w:after="120" w:line="239" w:lineRule="auto"/>
              <w:ind w:right="48"/>
            </w:pPr>
            <w:r>
              <w:rPr>
                <w:sz w:val="22"/>
              </w:rPr>
              <w:t xml:space="preserve">L’étude de fossiles datés de 3 à 7 millions d’années montre des innovations caractéristiques de la lignée humaine (bipédie prolongée, forme de la mandibule). </w:t>
            </w:r>
          </w:p>
          <w:p w14:paraId="12CB0ACD" w14:textId="77777777" w:rsidR="00BA4470" w:rsidRDefault="00BA4470" w:rsidP="00BA4470">
            <w:pPr>
              <w:spacing w:after="121" w:line="239" w:lineRule="auto"/>
              <w:ind w:right="50"/>
            </w:pPr>
            <w:r>
              <w:rPr>
                <w:sz w:val="22"/>
              </w:rPr>
              <w:lastRenderedPageBreak/>
              <w:t xml:space="preserve">Le genre </w:t>
            </w:r>
            <w:r>
              <w:rPr>
                <w:i/>
                <w:sz w:val="22"/>
              </w:rPr>
              <w:t>Homo</w:t>
            </w:r>
            <w:r>
              <w:rPr>
                <w:sz w:val="22"/>
              </w:rPr>
              <w:t xml:space="preserve"> regroupe l’espèce humaine actuelle et des espèces fossiles qui se caractérisent notamment par le développement de la capacité crânienne. Plusieurs espèces humaines ont cohabité sur Terre. </w:t>
            </w:r>
          </w:p>
          <w:p w14:paraId="6E344CCA" w14:textId="126A1C43" w:rsidR="00BA4470" w:rsidRPr="00DB499F" w:rsidRDefault="00BA4470" w:rsidP="00BA4470">
            <w:pPr>
              <w:rPr>
                <w:rFonts w:ascii="Arial" w:hAnsi="Arial" w:cs="Arial"/>
              </w:rPr>
            </w:pPr>
            <w:r>
              <w:rPr>
                <w:sz w:val="22"/>
              </w:rPr>
              <w:t xml:space="preserve">Certains caractères sont transmis de manière non génétique : microbiote, comportements appris dont la langue, les habitudes alimentaires, l’utilisation d’outils… </w:t>
            </w:r>
          </w:p>
        </w:tc>
        <w:tc>
          <w:tcPr>
            <w:tcW w:w="2987" w:type="dxa"/>
          </w:tcPr>
          <w:p w14:paraId="0BCAFC40" w14:textId="77777777" w:rsidR="00BA4470" w:rsidRDefault="00BA4470" w:rsidP="00BA4470">
            <w:pPr>
              <w:spacing w:line="259" w:lineRule="auto"/>
              <w:ind w:left="1"/>
            </w:pPr>
            <w:r>
              <w:rPr>
                <w:sz w:val="22"/>
              </w:rPr>
              <w:lastRenderedPageBreak/>
              <w:t xml:space="preserve"> </w:t>
            </w:r>
          </w:p>
          <w:p w14:paraId="053BE8CA" w14:textId="77777777" w:rsidR="00BA4470" w:rsidRDefault="00BA4470" w:rsidP="00BA4470">
            <w:pPr>
              <w:spacing w:line="259" w:lineRule="auto"/>
              <w:ind w:left="1"/>
            </w:pPr>
            <w:r>
              <w:rPr>
                <w:sz w:val="22"/>
              </w:rPr>
              <w:t xml:space="preserve"> </w:t>
            </w:r>
          </w:p>
          <w:p w14:paraId="665E3013" w14:textId="77777777" w:rsidR="00BA4470" w:rsidRDefault="00BA4470" w:rsidP="00BA4470">
            <w:pPr>
              <w:spacing w:after="98" w:line="259" w:lineRule="auto"/>
              <w:ind w:left="1"/>
            </w:pPr>
            <w:r>
              <w:rPr>
                <w:sz w:val="22"/>
              </w:rPr>
              <w:t xml:space="preserve"> </w:t>
            </w:r>
          </w:p>
          <w:p w14:paraId="46672690" w14:textId="77777777" w:rsidR="00BA4470" w:rsidRDefault="00BA4470" w:rsidP="00BA4470">
            <w:pPr>
              <w:spacing w:after="120" w:line="239" w:lineRule="auto"/>
              <w:ind w:left="1" w:right="51"/>
              <w:rPr>
                <w:sz w:val="22"/>
              </w:rPr>
            </w:pPr>
          </w:p>
          <w:p w14:paraId="7E3F3E19" w14:textId="77777777" w:rsidR="00BA4470" w:rsidRDefault="00BA4470" w:rsidP="00BA4470">
            <w:pPr>
              <w:spacing w:after="120" w:line="239" w:lineRule="auto"/>
              <w:ind w:left="1" w:right="51"/>
            </w:pPr>
            <w:r>
              <w:rPr>
                <w:sz w:val="22"/>
              </w:rPr>
              <w:t xml:space="preserve">Positionner quelques espèces fossiles dans un arbre phylogénétique, à partir de l'étude de caractères ou de </w:t>
            </w:r>
            <w:r>
              <w:rPr>
                <w:sz w:val="22"/>
              </w:rPr>
              <w:lastRenderedPageBreak/>
              <w:t xml:space="preserve">leurs productions.  </w:t>
            </w:r>
          </w:p>
          <w:p w14:paraId="6772C8C8" w14:textId="5B3E327A" w:rsidR="00BA4470" w:rsidRPr="00DB499F" w:rsidRDefault="00BA4470" w:rsidP="00BA4470">
            <w:pPr>
              <w:rPr>
                <w:rFonts w:ascii="Arial" w:hAnsi="Arial" w:cs="Arial"/>
              </w:rPr>
            </w:pPr>
            <w:r>
              <w:rPr>
                <w:sz w:val="22"/>
              </w:rPr>
              <w:t xml:space="preserve">Analyser des arguments scientifiques qui ont permis de préciser la parenté de </w:t>
            </w:r>
            <w:r>
              <w:rPr>
                <w:i/>
                <w:sz w:val="22"/>
              </w:rPr>
              <w:t>Homo sapiens</w:t>
            </w:r>
            <w:r>
              <w:rPr>
                <w:sz w:val="22"/>
              </w:rPr>
              <w:t xml:space="preserve"> avec les autres </w:t>
            </w:r>
            <w:r>
              <w:rPr>
                <w:i/>
                <w:sz w:val="22"/>
              </w:rPr>
              <w:t>Homo</w:t>
            </w:r>
            <w:r>
              <w:rPr>
                <w:sz w:val="22"/>
              </w:rPr>
              <w:t xml:space="preserve">, et notamment la parenté éventuelle avec les Néandertaliens ou les Dénisoviens. </w:t>
            </w:r>
          </w:p>
        </w:tc>
        <w:tc>
          <w:tcPr>
            <w:tcW w:w="2830" w:type="dxa"/>
            <w:vMerge/>
          </w:tcPr>
          <w:p w14:paraId="398D93F9" w14:textId="77777777" w:rsidR="00BA4470" w:rsidRDefault="00BA4470" w:rsidP="00BA4470"/>
        </w:tc>
        <w:tc>
          <w:tcPr>
            <w:tcW w:w="2405" w:type="dxa"/>
            <w:vMerge/>
          </w:tcPr>
          <w:p w14:paraId="07727FD7" w14:textId="77777777" w:rsidR="00BA4470" w:rsidRDefault="00BA4470" w:rsidP="00BA4470"/>
        </w:tc>
        <w:tc>
          <w:tcPr>
            <w:tcW w:w="2977" w:type="dxa"/>
            <w:vMerge/>
          </w:tcPr>
          <w:p w14:paraId="4E9F206A" w14:textId="77777777" w:rsidR="00BA4470" w:rsidRDefault="00BA4470" w:rsidP="00BA4470"/>
        </w:tc>
      </w:tr>
      <w:tr w:rsidR="00BA4470" w:rsidRPr="00DB499F" w14:paraId="346E7CC5" w14:textId="77777777" w:rsidTr="7C9A0712">
        <w:trPr>
          <w:trHeight w:val="757"/>
        </w:trPr>
        <w:tc>
          <w:tcPr>
            <w:tcW w:w="14601" w:type="dxa"/>
            <w:gridSpan w:val="5"/>
            <w:vAlign w:val="bottom"/>
          </w:tcPr>
          <w:p w14:paraId="7C2353A6" w14:textId="77777777" w:rsidR="00BA4470" w:rsidRDefault="00BA4470" w:rsidP="00BA4470">
            <w:pPr>
              <w:spacing w:after="121" w:line="259" w:lineRule="auto"/>
            </w:pPr>
            <w:r>
              <w:rPr>
                <w:b/>
                <w:color w:val="007F9F"/>
              </w:rPr>
              <w:t>Prérequis et limites</w:t>
            </w:r>
            <w:r>
              <w:rPr>
                <w:b/>
                <w:color w:val="0070C0"/>
                <w:sz w:val="22"/>
              </w:rPr>
              <w:t xml:space="preserve"> </w:t>
            </w:r>
          </w:p>
          <w:p w14:paraId="724D05A2" w14:textId="77777777" w:rsidR="00BA4470" w:rsidRDefault="00BA4470" w:rsidP="00BA4470">
            <w:pPr>
              <w:spacing w:line="239" w:lineRule="auto"/>
              <w:ind w:right="48"/>
            </w:pPr>
            <w:r>
              <w:rPr>
                <w:sz w:val="22"/>
              </w:rPr>
              <w:t xml:space="preserve">L’objectif n’est pas de conduire une approche exhaustive des fossiles et de leurs caractères biologiques, mais de présenter la démarche scientifique permettant de construire une histoire raisonnée de l’évolution humaine. Les notions de liens de parenté, étudiées au collège, sont mobilisées ; un accent particulier est mis sur l’importance de l’identification d’innovations évolutives communes.  </w:t>
            </w:r>
          </w:p>
          <w:p w14:paraId="4E1C72D7" w14:textId="0FDDFB49" w:rsidR="00BA4470" w:rsidRPr="00DB499F" w:rsidRDefault="00BA4470" w:rsidP="00BA4470">
            <w:pPr>
              <w:widowControl/>
              <w:kinsoku/>
              <w:autoSpaceDE w:val="0"/>
              <w:autoSpaceDN w:val="0"/>
              <w:adjustRightInd w:val="0"/>
              <w:rPr>
                <w:rFonts w:ascii="Arial" w:eastAsiaTheme="minorHAnsi" w:hAnsi="Arial" w:cs="Arial"/>
                <w:color w:val="000000"/>
                <w:sz w:val="22"/>
                <w:szCs w:val="22"/>
                <w:lang w:eastAsia="en-US"/>
              </w:rPr>
            </w:pPr>
            <w:r>
              <w:rPr>
                <w:rFonts w:eastAsia="Times New Roman"/>
                <w:sz w:val="22"/>
              </w:rPr>
              <w:t xml:space="preserve"> </w:t>
            </w:r>
          </w:p>
        </w:tc>
      </w:tr>
      <w:tr w:rsidR="00BA4470" w14:paraId="725D70D8" w14:textId="77777777" w:rsidTr="7C9A0712">
        <w:tc>
          <w:tcPr>
            <w:tcW w:w="14601" w:type="dxa"/>
            <w:gridSpan w:val="5"/>
          </w:tcPr>
          <w:p w14:paraId="1FA6BFE7" w14:textId="77777777" w:rsidR="00BA4470" w:rsidRDefault="00BA4470" w:rsidP="00BA4470">
            <w:pPr>
              <w:spacing w:line="259" w:lineRule="auto"/>
            </w:pPr>
            <w:r>
              <w:rPr>
                <w:b/>
                <w:color w:val="007F9F"/>
              </w:rPr>
              <w:t xml:space="preserve">3.4 Les modèles démographiques </w:t>
            </w:r>
          </w:p>
          <w:p w14:paraId="0DB5632B" w14:textId="5B1CD6A2" w:rsidR="00BA4470" w:rsidRDefault="00BA4470" w:rsidP="00BA4470">
            <w:pPr>
              <w:spacing w:before="72"/>
              <w:ind w:left="34"/>
              <w:rPr>
                <w:rFonts w:ascii="Arial" w:hAnsi="Arial" w:cs="Arial"/>
                <w:b/>
                <w:bCs/>
                <w:color w:val="17818E"/>
                <w:spacing w:val="-4"/>
                <w:w w:val="105"/>
                <w:sz w:val="22"/>
                <w:szCs w:val="22"/>
              </w:rPr>
            </w:pPr>
            <w:r>
              <w:rPr>
                <w:i/>
                <w:sz w:val="22"/>
              </w:rPr>
              <w:t>Dans le cadre de l’étude de l’évolution des populations, il est important de prédire leur effectif futur mais aussi la manière dont vont évoluer les ressources qui leur sont nécessaires. Pour prédire l’évolution d’un système quelconque, les scientifiques utilisent des modèles mathématiques. La présentation de l’exemple historique de Malthus permet de mettre en œuvre cette démarche mathématique dans le cas discret (correspondant à une variation par paliers).</w:t>
            </w:r>
          </w:p>
          <w:tbl>
            <w:tblPr>
              <w:tblW w:w="0" w:type="auto"/>
              <w:tblBorders>
                <w:top w:val="nil"/>
                <w:left w:val="nil"/>
                <w:bottom w:val="nil"/>
                <w:right w:val="nil"/>
              </w:tblBorders>
              <w:tblLook w:val="0000" w:firstRow="0" w:lastRow="0" w:firstColumn="0" w:lastColumn="0" w:noHBand="0" w:noVBand="0"/>
            </w:tblPr>
            <w:tblGrid>
              <w:gridCol w:w="494"/>
            </w:tblGrid>
            <w:tr w:rsidR="00BA4470" w:rsidRPr="00981ECE" w14:paraId="578B6304" w14:textId="77777777" w:rsidTr="004446EF">
              <w:trPr>
                <w:trHeight w:val="356"/>
              </w:trPr>
              <w:tc>
                <w:tcPr>
                  <w:tcW w:w="0" w:type="auto"/>
                </w:tcPr>
                <w:tbl>
                  <w:tblPr>
                    <w:tblW w:w="0" w:type="auto"/>
                    <w:tblBorders>
                      <w:top w:val="nil"/>
                      <w:left w:val="nil"/>
                      <w:bottom w:val="nil"/>
                      <w:right w:val="nil"/>
                    </w:tblBorders>
                    <w:tblLook w:val="0000" w:firstRow="0" w:lastRow="0" w:firstColumn="0" w:lastColumn="0" w:noHBand="0" w:noVBand="0"/>
                  </w:tblPr>
                  <w:tblGrid>
                    <w:gridCol w:w="278"/>
                  </w:tblGrid>
                  <w:tr w:rsidR="00BA4470" w:rsidRPr="00FB4468" w14:paraId="51E8298E" w14:textId="77777777" w:rsidTr="004446EF">
                    <w:trPr>
                      <w:trHeight w:val="103"/>
                    </w:trPr>
                    <w:tc>
                      <w:tcPr>
                        <w:tcW w:w="0" w:type="auto"/>
                      </w:tcPr>
                      <w:p w14:paraId="02AA14AF" w14:textId="77777777" w:rsidR="00BA4470" w:rsidRPr="00FB4468" w:rsidRDefault="00BA4470" w:rsidP="00BA4470">
                        <w:pPr>
                          <w:widowControl/>
                          <w:kinsoku/>
                          <w:autoSpaceDE w:val="0"/>
                          <w:autoSpaceDN w:val="0"/>
                          <w:adjustRightInd w:val="0"/>
                          <w:rPr>
                            <w:rFonts w:ascii="Arial" w:hAnsi="Arial" w:cs="Arial"/>
                            <w:color w:val="000000" w:themeColor="text1"/>
                            <w:sz w:val="22"/>
                            <w:szCs w:val="22"/>
                            <w:lang w:eastAsia="en-US"/>
                          </w:rPr>
                        </w:pPr>
                        <w:r w:rsidRPr="0E3BE76E">
                          <w:rPr>
                            <w:rFonts w:ascii="Arial" w:hAnsi="Arial" w:cs="Arial"/>
                            <w:color w:val="000000" w:themeColor="text1"/>
                            <w:sz w:val="22"/>
                            <w:szCs w:val="22"/>
                            <w:lang w:eastAsia="en-US"/>
                          </w:rPr>
                          <w:t xml:space="preserve">. </w:t>
                        </w:r>
                      </w:p>
                    </w:tc>
                  </w:tr>
                </w:tbl>
                <w:p w14:paraId="528F1E54" w14:textId="77777777" w:rsidR="00BA4470" w:rsidRPr="00981ECE" w:rsidRDefault="00BA4470" w:rsidP="00BA4470">
                  <w:pPr>
                    <w:widowControl/>
                    <w:kinsoku/>
                    <w:autoSpaceDE w:val="0"/>
                    <w:autoSpaceDN w:val="0"/>
                    <w:adjustRightInd w:val="0"/>
                    <w:rPr>
                      <w:rFonts w:ascii="Arial" w:eastAsiaTheme="minorHAnsi" w:hAnsi="Arial" w:cs="Arial"/>
                      <w:color w:val="000000"/>
                      <w:sz w:val="22"/>
                      <w:szCs w:val="22"/>
                      <w:lang w:eastAsia="en-US"/>
                    </w:rPr>
                  </w:pPr>
                </w:p>
              </w:tc>
            </w:tr>
          </w:tbl>
          <w:p w14:paraId="19627CE1" w14:textId="77777777" w:rsidR="00BA4470" w:rsidRDefault="00BA4470" w:rsidP="00BA4470"/>
        </w:tc>
      </w:tr>
      <w:tr w:rsidR="00BA4470" w14:paraId="34206702" w14:textId="77777777" w:rsidTr="7C9A0712">
        <w:tc>
          <w:tcPr>
            <w:tcW w:w="3402" w:type="dxa"/>
            <w:vAlign w:val="center"/>
          </w:tcPr>
          <w:p w14:paraId="05BEF5A6" w14:textId="77777777" w:rsidR="00BA4470" w:rsidRDefault="00BA4470" w:rsidP="00BA4470">
            <w:r>
              <w:rPr>
                <w:rFonts w:ascii="Arial" w:hAnsi="Arial" w:cs="Arial"/>
                <w:b/>
                <w:bCs/>
                <w:sz w:val="22"/>
                <w:szCs w:val="22"/>
              </w:rPr>
              <w:t>Savoirs</w:t>
            </w:r>
          </w:p>
        </w:tc>
        <w:tc>
          <w:tcPr>
            <w:tcW w:w="2987" w:type="dxa"/>
            <w:vAlign w:val="center"/>
          </w:tcPr>
          <w:p w14:paraId="09E2996E" w14:textId="77777777" w:rsidR="00BA4470" w:rsidRDefault="00BA4470" w:rsidP="00BA4470">
            <w:r>
              <w:rPr>
                <w:rFonts w:ascii="Arial" w:hAnsi="Arial" w:cs="Arial"/>
                <w:b/>
                <w:bCs/>
                <w:sz w:val="22"/>
                <w:szCs w:val="22"/>
              </w:rPr>
              <w:t>Savoir-faire</w:t>
            </w:r>
          </w:p>
        </w:tc>
        <w:tc>
          <w:tcPr>
            <w:tcW w:w="2830" w:type="dxa"/>
            <w:shd w:val="clear" w:color="auto" w:fill="BDD6EE" w:themeFill="accent5" w:themeFillTint="66"/>
          </w:tcPr>
          <w:p w14:paraId="5524C64F" w14:textId="77777777" w:rsidR="00BA4470" w:rsidRDefault="00BA4470" w:rsidP="00BA4470">
            <w:r>
              <w:rPr>
                <w:rFonts w:asciiTheme="minorHAnsi" w:hAnsiTheme="minorHAnsi" w:cstheme="minorHAnsi"/>
                <w:b/>
              </w:rPr>
              <w:t>Capacités exigibles de remobilisables</w:t>
            </w:r>
          </w:p>
        </w:tc>
        <w:tc>
          <w:tcPr>
            <w:tcW w:w="2405" w:type="dxa"/>
          </w:tcPr>
          <w:p w14:paraId="7ED8AB1F" w14:textId="77777777" w:rsidR="00BA4470" w:rsidRDefault="00BA4470" w:rsidP="00BA4470">
            <w:r w:rsidRPr="000C5D32">
              <w:rPr>
                <w:rFonts w:asciiTheme="minorHAnsi" w:hAnsiTheme="minorHAnsi" w:cstheme="minorHAnsi"/>
                <w:b/>
              </w:rPr>
              <w:t>S</w:t>
            </w:r>
            <w:r>
              <w:rPr>
                <w:rFonts w:asciiTheme="minorHAnsi" w:hAnsiTheme="minorHAnsi" w:cstheme="minorHAnsi"/>
                <w:b/>
              </w:rPr>
              <w:t>aut conceptuel en terminale</w:t>
            </w:r>
          </w:p>
        </w:tc>
        <w:tc>
          <w:tcPr>
            <w:tcW w:w="2977" w:type="dxa"/>
          </w:tcPr>
          <w:p w14:paraId="5929D014" w14:textId="77777777" w:rsidR="00BA4470" w:rsidRDefault="00BA4470" w:rsidP="00BA4470">
            <w:r w:rsidRPr="007F4857">
              <w:rPr>
                <w:rFonts w:asciiTheme="minorHAnsi" w:hAnsiTheme="minorHAnsi" w:cstheme="minorHAnsi"/>
                <w:b/>
              </w:rPr>
              <w:t>Liens avec les programmes de spécialité</w:t>
            </w:r>
          </w:p>
        </w:tc>
      </w:tr>
      <w:tr w:rsidR="00BA4470" w14:paraId="4125378F" w14:textId="77777777" w:rsidTr="7C9A0712">
        <w:tc>
          <w:tcPr>
            <w:tcW w:w="3402" w:type="dxa"/>
          </w:tcPr>
          <w:p w14:paraId="74C339A8" w14:textId="77777777" w:rsidR="00BA4470" w:rsidRDefault="00BA4470" w:rsidP="00BA4470">
            <w:pPr>
              <w:spacing w:line="276" w:lineRule="auto"/>
            </w:pPr>
            <w:r>
              <w:rPr>
                <w:sz w:val="22"/>
              </w:rPr>
              <w:t xml:space="preserve">Un modèle mathématique simple est le modèle linéaire.  </w:t>
            </w:r>
          </w:p>
          <w:p w14:paraId="0087DC52" w14:textId="77777777" w:rsidR="00BA4470" w:rsidRDefault="00BA4470" w:rsidP="00BA4470">
            <w:pPr>
              <w:spacing w:after="3" w:line="273" w:lineRule="auto"/>
              <w:ind w:right="48"/>
            </w:pPr>
            <w:r>
              <w:rPr>
                <w:sz w:val="22"/>
              </w:rPr>
              <w:t xml:space="preserve">Une grandeur discrète </w:t>
            </w:r>
            <w:r>
              <w:rPr>
                <w:i/>
                <w:sz w:val="22"/>
              </w:rPr>
              <w:t>u</w:t>
            </w:r>
            <w:r>
              <w:rPr>
                <w:sz w:val="22"/>
              </w:rPr>
              <w:t xml:space="preserve"> varie de manière linéaire en fonction d’un palier entier </w:t>
            </w:r>
            <w:r>
              <w:rPr>
                <w:i/>
                <w:sz w:val="22"/>
              </w:rPr>
              <w:t>n</w:t>
            </w:r>
            <w:r>
              <w:rPr>
                <w:sz w:val="22"/>
              </w:rPr>
              <w:t xml:space="preserve"> si</w:t>
            </w:r>
            <w:r>
              <w:rPr>
                <w:noProof/>
                <w:sz w:val="22"/>
              </w:rPr>
              <mc:AlternateContent>
                <mc:Choice Requires="wpg">
                  <w:drawing>
                    <wp:inline distT="0" distB="0" distL="0" distR="0" wp14:anchorId="0194CCA0" wp14:editId="447AD24B">
                      <wp:extent cx="30846" cy="140209"/>
                      <wp:effectExtent l="0" t="0" r="0" b="0"/>
                      <wp:docPr id="46341" name="Group 46341"/>
                      <wp:cNvGraphicFramePr/>
                      <a:graphic xmlns:a="http://schemas.openxmlformats.org/drawingml/2006/main">
                        <a:graphicData uri="http://schemas.microsoft.com/office/word/2010/wordprocessingGroup">
                          <wpg:wgp>
                            <wpg:cNvGrpSpPr/>
                            <wpg:grpSpPr>
                              <a:xfrm>
                                <a:off x="0" y="0"/>
                                <a:ext cx="30846" cy="140209"/>
                                <a:chOff x="0" y="0"/>
                                <a:chExt cx="30846" cy="140209"/>
                              </a:xfrm>
                            </wpg:grpSpPr>
                            <wps:wsp>
                              <wps:cNvPr id="4496" name="Rectangle 4496"/>
                              <wps:cNvSpPr/>
                              <wps:spPr>
                                <a:xfrm>
                                  <a:off x="0" y="0"/>
                                  <a:ext cx="41025" cy="186477"/>
                                </a:xfrm>
                                <a:prstGeom prst="rect">
                                  <a:avLst/>
                                </a:prstGeom>
                                <a:ln>
                                  <a:noFill/>
                                </a:ln>
                              </wps:spPr>
                              <wps:txbx>
                                <w:txbxContent>
                                  <w:p w14:paraId="2F10F61B" w14:textId="77777777" w:rsidR="00BA4470" w:rsidRDefault="00BA4470">
                                    <w:pPr>
                                      <w:spacing w:after="160" w:line="259" w:lineRule="auto"/>
                                    </w:pPr>
                                    <w:r>
                                      <w:rPr>
                                        <w:rFonts w:ascii="Cambria Math" w:eastAsia="Cambria Math" w:hAnsi="Cambria Math" w:cs="Cambria Math"/>
                                        <w:sz w:val="22"/>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w16se="http://schemas.microsoft.com/office/word/2015/wordml/symex" xmlns:a="http://schemas.openxmlformats.org/drawingml/2006/main">
                  <w:pict w14:anchorId="22DF8560">
                    <v:group id="Group 46341" style="width:2.45pt;height:11.05pt;mso-position-horizontal-relative:char;mso-position-vertical-relative:line" coordsize="30846,140209" o:spid="_x0000_s1026" w14:anchorId="0194C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CBgIAAIIEAAAOAAAAZHJzL2Uyb0RvYy54bWykVNtu2zAMfR+wfxD0vthJvTQ14hTDugYD&#10;hrVo1w9QZMk2IIuCpMTOvn6UfOnQAkPRvcgUSZHnHIneXvetIidhXQO6oMtFSonQHMpGVwV9+nX7&#10;aUOJ80yXTIEWBT0LR693Hz9sO5OLFdSgSmEJFtEu70xBa+9NniSO16JlbgFGaAxKsC3zuLVVUlrW&#10;YfVWJas0XScd2NJY4MI59N4MQbqL9aUU3N9J6YQnqqCIzcfVxvUQ1mS3ZXllmakbPsJg70DRskZj&#10;07nUDfOMHG3zqlTbcAsOpF9waBOQsuEickA2y/QFm72Fo4lcqryrzCwTSvtCp3eX5T9P95Y0ZUGz&#10;9UW2pESzFq8pdiaDCyXqTJVj5t6aR3NvR0c17ALrXto2fJEP6aO451lc0XvC0XmRbrI1JRwjyyxd&#10;pVeD9rzGC3p1iNff/nUsmVomAdkMpDP4iNyzTu7/dHqsmRFRfhfYTzplV0hjkOkB3xfTlRIkC94o&#10;TMydZXK5Q8XeqlG2TFefR4026+zyMpScybLcWOf3AloSjIJabB9fHTv9cH5InVJCS6XDquG2UWqI&#10;Bg9qNqEKlu8P/Qj8AOUZWdZgf9/hTEsFXUFhtGgYc2waopSo7xrVDRM1GXYyDpNhvfoKce4GGF+O&#10;HmQTcYbGQ7cRD15btOJDj5zHoQyT9Pc+Zj3/OnZ/AAAA//8DAFBLAwQUAAYACAAAACEAb2BHb9sA&#10;AAACAQAADwAAAGRycy9kb3ducmV2LnhtbEyPQWvCQBCF7wX/wzJCb3WT2JY2zUZEbE9SUAvibcyO&#10;STA7G7JrEv99t720l4HHe7z3TbYYTSN66lxtWUE8i0AQF1bXXCr42r8/vIBwHlljY5kU3MjBIp/c&#10;ZZhqO/CW+p0vRShhl6KCyvs2ldIVFRl0M9sSB+9sO4M+yK6UusMhlJtGJlH0LA3WHBYqbGlVUXHZ&#10;XY2CjwGH5Txe95vLeXU77p8+D5uYlLqfjss3EJ5G/xeGH/yADnlgOtkraycaBeER/3uD9/gK4qQg&#10;SWKQeSb/o+ffAAAA//8DAFBLAQItABQABgAIAAAAIQC2gziS/gAAAOEBAAATAAAAAAAAAAAAAAAA&#10;AAAAAABbQ29udGVudF9UeXBlc10ueG1sUEsBAi0AFAAGAAgAAAAhADj9If/WAAAAlAEAAAsAAAAA&#10;AAAAAAAAAAAALwEAAF9yZWxzLy5yZWxzUEsBAi0AFAAGAAgAAAAhAK077EIGAgAAggQAAA4AAAAA&#10;AAAAAAAAAAAALgIAAGRycy9lMm9Eb2MueG1sUEsBAi0AFAAGAAgAAAAhAG9gR2/bAAAAAgEAAA8A&#10;AAAAAAAAAAAAAAAAYAQAAGRycy9kb3ducmV2LnhtbFBLBQYAAAAABAAEAPMAAABoBQAAAAA=&#10;">
                      <v:rect id="Rectangle 4496" style="position:absolute;width:41025;height:186477;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nLxwAAAN0AAAAPAAAAZHJzL2Rvd25yZXYueG1sRI9Ba8JA&#10;FITvgv9heYI33VgkmOgagq2YY6sF6+2RfU1Cs29DdmvS/vpuodDjMDPfMLtsNK24U+8aywpWywgE&#10;cWl1w5WC18txsQHhPLLG1jIp+CIH2X462WGq7cAvdD/7SgQIuxQV1N53qZSurMmgW9qOOHjvtjfo&#10;g+wrqXscAty08iGKYmmw4bBQY0eHmsqP86dRcNp0+Vthv4eqfbqdrs/X5PGSeKXmszHfgvA0+v/w&#10;X7vQCtbrJIbfN+EJyP0PAAAA//8DAFBLAQItABQABgAIAAAAIQDb4fbL7gAAAIUBAAATAAAAAAAA&#10;AAAAAAAAAAAAAABbQ29udGVudF9UeXBlc10ueG1sUEsBAi0AFAAGAAgAAAAhAFr0LFu/AAAAFQEA&#10;AAsAAAAAAAAAAAAAAAAAHwEAAF9yZWxzLy5yZWxzUEsBAi0AFAAGAAgAAAAhADE1KcvHAAAA3QAA&#10;AA8AAAAAAAAAAAAAAAAABwIAAGRycy9kb3ducmV2LnhtbFBLBQYAAAAAAwADALcAAAD7AgAAAAA=&#10;">
                        <v:textbox inset="0,0,0,0">
                          <w:txbxContent>
                            <w:p w:rsidR="00BA4470" w:rsidRDefault="00BA4470" w14:paraId="29D6B04F" w14:textId="77777777">
                              <w:pPr>
                                <w:spacing w:after="160" w:line="259" w:lineRule="auto"/>
                              </w:pPr>
                              <w:r>
                                <w:rPr>
                                  <w:rFonts w:ascii="Cambria Math" w:hAnsi="Cambria Math" w:eastAsia="Cambria Math" w:cs="Cambria Math"/>
                                  <w:sz w:val="22"/>
                                </w:rPr>
                                <w:t xml:space="preserve"> </w:t>
                              </w:r>
                            </w:p>
                          </w:txbxContent>
                        </v:textbox>
                      </v:rect>
                      <w10:anchorlock/>
                    </v:group>
                  </w:pict>
                </mc:Fallback>
              </mc:AlternateContent>
            </w:r>
            <w:r>
              <w:rPr>
                <w:sz w:val="22"/>
              </w:rPr>
              <w:t xml:space="preserve">sa variation absolue </w:t>
            </w:r>
            <w:r>
              <w:rPr>
                <w:i/>
                <w:sz w:val="22"/>
              </w:rPr>
              <w:t>u</w:t>
            </w:r>
            <w:r>
              <w:rPr>
                <w:sz w:val="22"/>
              </w:rPr>
              <w:t>(</w:t>
            </w:r>
            <w:r>
              <w:rPr>
                <w:i/>
                <w:sz w:val="22"/>
              </w:rPr>
              <w:t>n</w:t>
            </w:r>
            <w:r>
              <w:rPr>
                <w:sz w:val="22"/>
              </w:rPr>
              <w:t>+1)-</w:t>
            </w:r>
            <w:r>
              <w:rPr>
                <w:i/>
                <w:sz w:val="22"/>
              </w:rPr>
              <w:t>u</w:t>
            </w:r>
            <w:r>
              <w:rPr>
                <w:sz w:val="22"/>
              </w:rPr>
              <w:t>(</w:t>
            </w:r>
            <w:r>
              <w:rPr>
                <w:i/>
                <w:sz w:val="22"/>
              </w:rPr>
              <w:t>n</w:t>
            </w:r>
            <w:r>
              <w:rPr>
                <w:sz w:val="22"/>
              </w:rPr>
              <w:t>) est constante. Dans ce cas, les points (</w:t>
            </w:r>
            <w:r>
              <w:rPr>
                <w:i/>
                <w:sz w:val="22"/>
              </w:rPr>
              <w:t>n</w:t>
            </w:r>
            <w:r>
              <w:rPr>
                <w:sz w:val="22"/>
              </w:rPr>
              <w:t xml:space="preserve">, </w:t>
            </w:r>
            <w:r>
              <w:rPr>
                <w:i/>
                <w:sz w:val="22"/>
              </w:rPr>
              <w:t>u</w:t>
            </w:r>
            <w:r>
              <w:rPr>
                <w:sz w:val="22"/>
              </w:rPr>
              <w:t>(</w:t>
            </w:r>
            <w:r>
              <w:rPr>
                <w:i/>
                <w:sz w:val="22"/>
              </w:rPr>
              <w:t>n</w:t>
            </w:r>
            <w:r>
              <w:rPr>
                <w:sz w:val="22"/>
              </w:rPr>
              <w:t xml:space="preserve">)) sont situés sur une droite affine. </w:t>
            </w:r>
          </w:p>
          <w:p w14:paraId="5A1C861A" w14:textId="771BD3AF" w:rsidR="00BA4470" w:rsidRPr="00FB4468" w:rsidRDefault="00BA4470" w:rsidP="00BA4470">
            <w:pPr>
              <w:rPr>
                <w:rFonts w:ascii="Arial" w:hAnsi="Arial" w:cs="Arial"/>
              </w:rPr>
            </w:pPr>
            <w:r>
              <w:rPr>
                <w:sz w:val="22"/>
              </w:rPr>
              <w:lastRenderedPageBreak/>
              <w:t xml:space="preserve">Dans la réalité, pour une population dont la variation absolue est presque constante d’un palier à l’autre, on peut ajuster le nuage de points qui la représente par une droite (modèle linéaire). </w:t>
            </w:r>
          </w:p>
        </w:tc>
        <w:tc>
          <w:tcPr>
            <w:tcW w:w="2987" w:type="dxa"/>
          </w:tcPr>
          <w:p w14:paraId="36E25B9E" w14:textId="77777777" w:rsidR="00BA4470" w:rsidRDefault="00BA4470" w:rsidP="00BA4470">
            <w:pPr>
              <w:spacing w:after="139" w:line="259" w:lineRule="auto"/>
              <w:ind w:left="1"/>
            </w:pPr>
            <w:r>
              <w:rPr>
                <w:sz w:val="22"/>
              </w:rPr>
              <w:lastRenderedPageBreak/>
              <w:t xml:space="preserve"> </w:t>
            </w:r>
          </w:p>
          <w:p w14:paraId="24E18F92" w14:textId="77777777" w:rsidR="00BA4470" w:rsidRDefault="00BA4470" w:rsidP="00BA4470">
            <w:pPr>
              <w:spacing w:after="16" w:line="259" w:lineRule="auto"/>
              <w:ind w:left="1"/>
            </w:pPr>
            <w:r>
              <w:rPr>
                <w:sz w:val="22"/>
              </w:rPr>
              <w:t xml:space="preserve">Exprimer </w:t>
            </w:r>
            <w:r>
              <w:rPr>
                <w:i/>
                <w:sz w:val="22"/>
              </w:rPr>
              <w:t>u</w:t>
            </w:r>
            <w:r>
              <w:rPr>
                <w:sz w:val="22"/>
              </w:rPr>
              <w:t>(</w:t>
            </w:r>
            <w:r>
              <w:rPr>
                <w:i/>
                <w:sz w:val="22"/>
              </w:rPr>
              <w:t>n</w:t>
            </w:r>
            <w:r>
              <w:rPr>
                <w:sz w:val="22"/>
              </w:rPr>
              <w:t xml:space="preserve">) en fonction de </w:t>
            </w:r>
            <w:r>
              <w:rPr>
                <w:i/>
                <w:sz w:val="22"/>
              </w:rPr>
              <w:t>u</w:t>
            </w:r>
            <w:r>
              <w:rPr>
                <w:sz w:val="22"/>
              </w:rPr>
              <w:t xml:space="preserve">(0) et </w:t>
            </w:r>
            <w:r>
              <w:rPr>
                <w:i/>
                <w:sz w:val="22"/>
              </w:rPr>
              <w:t>n</w:t>
            </w:r>
            <w:r>
              <w:rPr>
                <w:sz w:val="22"/>
              </w:rPr>
              <w:t xml:space="preserve">. </w:t>
            </w:r>
          </w:p>
          <w:p w14:paraId="7C4D9F57" w14:textId="77777777" w:rsidR="00BA4470" w:rsidRDefault="00BA4470" w:rsidP="00BA4470">
            <w:pPr>
              <w:spacing w:after="121" w:line="275" w:lineRule="auto"/>
              <w:ind w:left="1" w:right="51"/>
            </w:pPr>
            <w:r>
              <w:rPr>
                <w:sz w:val="22"/>
              </w:rPr>
              <w:t xml:space="preserve">Produire et interpréter des graphiques statistiques traduisant l’évolution d’effectif d’une population ou </w:t>
            </w:r>
            <w:r>
              <w:rPr>
                <w:sz w:val="22"/>
              </w:rPr>
              <w:lastRenderedPageBreak/>
              <w:t xml:space="preserve">de ressources, notamment sous forme de nuages de points. </w:t>
            </w:r>
          </w:p>
          <w:p w14:paraId="13516D23" w14:textId="48E6BB80" w:rsidR="00BA4470" w:rsidRPr="00FB4468" w:rsidRDefault="00BA4470" w:rsidP="00BA4470">
            <w:pPr>
              <w:rPr>
                <w:rFonts w:ascii="Arial" w:hAnsi="Arial" w:cs="Arial"/>
              </w:rPr>
            </w:pPr>
            <w:r>
              <w:rPr>
                <w:sz w:val="22"/>
              </w:rPr>
              <w:t xml:space="preserve">À l’aide d’une calculatrice ou d’un tableur, ajuster un nuage de points par une droite et utiliser ce modèle linéaire pour effectuer des prévisions. </w:t>
            </w:r>
          </w:p>
        </w:tc>
        <w:tc>
          <w:tcPr>
            <w:tcW w:w="2830" w:type="dxa"/>
            <w:tcBorders>
              <w:top w:val="single" w:sz="4" w:space="0" w:color="auto"/>
              <w:bottom w:val="single" w:sz="4" w:space="0" w:color="auto"/>
            </w:tcBorders>
            <w:shd w:val="clear" w:color="auto" w:fill="BDD6EE" w:themeFill="accent5" w:themeFillTint="66"/>
          </w:tcPr>
          <w:p w14:paraId="3065367D" w14:textId="1A924B53" w:rsidR="00BA4470" w:rsidRDefault="00BA4470" w:rsidP="00BA4470"/>
          <w:p w14:paraId="35D32B0C" w14:textId="60D563A4" w:rsidR="00BA4470" w:rsidRDefault="681B9274" w:rsidP="681B9274">
            <w:r w:rsidRPr="681B9274">
              <w:rPr>
                <w:color w:val="0070C0"/>
              </w:rPr>
              <w:t>L’écriture fonctionnelle est à privilégier ici car la notion de suite n’est abordée qu’à partir de la classe de Première, spécialité mathématique.</w:t>
            </w:r>
          </w:p>
          <w:p w14:paraId="35D49B73" w14:textId="5E92BDC1" w:rsidR="00BA4470" w:rsidRDefault="681B9274" w:rsidP="681B9274">
            <w:pPr>
              <w:rPr>
                <w:color w:val="0070C0"/>
              </w:rPr>
            </w:pPr>
            <w:r w:rsidRPr="681B9274">
              <w:rPr>
                <w:color w:val="0070C0"/>
              </w:rPr>
              <w:t xml:space="preserve">Les notions </w:t>
            </w:r>
            <w:r w:rsidRPr="681B9274">
              <w:rPr>
                <w:color w:val="0070C0"/>
              </w:rPr>
              <w:lastRenderedPageBreak/>
              <w:t>mathématiques de variations absolues et relatives sont traitées en classe de Seconde.</w:t>
            </w:r>
          </w:p>
        </w:tc>
        <w:tc>
          <w:tcPr>
            <w:tcW w:w="2405" w:type="dxa"/>
          </w:tcPr>
          <w:p w14:paraId="3FAAA430" w14:textId="2C9E13C5" w:rsidR="00BA4470" w:rsidRDefault="00BA4470" w:rsidP="00BA4470"/>
          <w:p w14:paraId="385C6C69" w14:textId="44664594" w:rsidR="00BA4470" w:rsidRDefault="681B9274" w:rsidP="681B9274">
            <w:r w:rsidRPr="681B9274">
              <w:rPr>
                <w:color w:val="0070C0"/>
              </w:rPr>
              <w:t xml:space="preserve">Les compétences mathématiques “modéliser” ainsi que “communiquer” sont particulièrement sollicitées ici. Il s’agit ici de faire </w:t>
            </w:r>
            <w:r w:rsidRPr="681B9274">
              <w:rPr>
                <w:color w:val="0070C0"/>
              </w:rPr>
              <w:lastRenderedPageBreak/>
              <w:t>comprendre aux élèves que dans certains cas, il est possible de “remplacer” un nuage de points par la courbe d’une fonction “simple”, ici affine à des fins de prévisions.</w:t>
            </w:r>
          </w:p>
        </w:tc>
        <w:tc>
          <w:tcPr>
            <w:tcW w:w="2977" w:type="dxa"/>
          </w:tcPr>
          <w:p w14:paraId="4CB7C59F" w14:textId="108531E4" w:rsidR="00BA4470" w:rsidRDefault="681B9274" w:rsidP="681B9274">
            <w:pPr>
              <w:rPr>
                <w:rFonts w:ascii="Cambria" w:hAnsi="Cambria"/>
                <w:color w:val="0070C0"/>
                <w:sz w:val="22"/>
                <w:szCs w:val="22"/>
              </w:rPr>
            </w:pPr>
            <w:r w:rsidRPr="681B9274">
              <w:rPr>
                <w:rFonts w:ascii="Cambria" w:hAnsi="Cambria"/>
                <w:color w:val="0070C0"/>
                <w:sz w:val="22"/>
                <w:szCs w:val="22"/>
              </w:rPr>
              <w:lastRenderedPageBreak/>
              <w:t>Les élèves suivant l’option Mathématiques complémentaires de Terminale étudient des modèles d’évolution. La mise en regard des modèles discrets et des modèles continus étant un objectif important de cette option.</w:t>
            </w:r>
          </w:p>
        </w:tc>
      </w:tr>
      <w:tr w:rsidR="00BA4470" w14:paraId="56CF4408" w14:textId="77777777" w:rsidTr="7C9A0712">
        <w:tc>
          <w:tcPr>
            <w:tcW w:w="3402" w:type="dxa"/>
            <w:vAlign w:val="bottom"/>
          </w:tcPr>
          <w:p w14:paraId="79AD68FE" w14:textId="77777777" w:rsidR="00BA4470" w:rsidRDefault="00BA4470" w:rsidP="00BA4470">
            <w:pPr>
              <w:spacing w:after="121" w:line="275" w:lineRule="auto"/>
              <w:ind w:right="51"/>
            </w:pPr>
            <w:r>
              <w:rPr>
                <w:sz w:val="22"/>
              </w:rPr>
              <w:t xml:space="preserve">Le modèle linéaire est inadapté pour représenter l’évolution d’une grandeur dont la variation absolue change fortement d’un palier à l’autre. </w:t>
            </w:r>
            <w:r>
              <w:rPr>
                <w:color w:val="FF0000"/>
                <w:sz w:val="22"/>
              </w:rPr>
              <w:t xml:space="preserve"> </w:t>
            </w:r>
          </w:p>
          <w:p w14:paraId="0CA1D0FD" w14:textId="77777777" w:rsidR="00BA4470" w:rsidRDefault="00BA4470" w:rsidP="00BA4470">
            <w:pPr>
              <w:spacing w:after="121" w:line="275" w:lineRule="auto"/>
              <w:ind w:right="49"/>
            </w:pPr>
            <w:r>
              <w:rPr>
                <w:sz w:val="22"/>
              </w:rPr>
              <w:t xml:space="preserve">Une grandeur discrète </w:t>
            </w:r>
            <w:r>
              <w:rPr>
                <w:i/>
                <w:sz w:val="22"/>
              </w:rPr>
              <w:t>u</w:t>
            </w:r>
            <w:r>
              <w:rPr>
                <w:sz w:val="22"/>
              </w:rPr>
              <w:t xml:space="preserve"> varie de manière exponentielle en fonction du palier entier </w:t>
            </w:r>
            <w:r>
              <w:rPr>
                <w:i/>
                <w:sz w:val="22"/>
              </w:rPr>
              <w:t>n</w:t>
            </w:r>
            <w:r>
              <w:rPr>
                <w:sz w:val="22"/>
              </w:rPr>
              <w:t xml:space="preserve"> si sa variation absolue est proportionnelle à sa valeur courante. Dans ce cas, sa variation relative (ou taux de variation) est constante. </w:t>
            </w:r>
          </w:p>
          <w:p w14:paraId="36DB1F00" w14:textId="77777777" w:rsidR="00BA4470" w:rsidRDefault="00BA4470" w:rsidP="00BA4470">
            <w:pPr>
              <w:spacing w:after="118" w:line="275" w:lineRule="auto"/>
              <w:ind w:right="47"/>
            </w:pPr>
            <w:r>
              <w:rPr>
                <w:sz w:val="22"/>
              </w:rPr>
              <w:t xml:space="preserve">Dans la réalité, pour une population dont le taux de variation est presque constant d’un palier à l’autre, on peut ajuster le nuage de points par un modèle exponentiel. </w:t>
            </w:r>
          </w:p>
          <w:p w14:paraId="0F411978" w14:textId="77777777" w:rsidR="00BA4470" w:rsidRDefault="00BA4470" w:rsidP="00BA4470">
            <w:pPr>
              <w:spacing w:after="120" w:line="275" w:lineRule="auto"/>
              <w:ind w:right="49"/>
            </w:pPr>
            <w:r>
              <w:rPr>
                <w:sz w:val="22"/>
              </w:rPr>
              <w:t xml:space="preserve">Le modèle démographique de Malthus est un modèle exponentiel d’évolution de l’effectif de la population. Il prévoit que l’effectif </w:t>
            </w:r>
            <w:r>
              <w:rPr>
                <w:sz w:val="22"/>
              </w:rPr>
              <w:lastRenderedPageBreak/>
              <w:t xml:space="preserve">de la population décroît vers 0 si le taux de mortalité est supérieur au taux de natalité et croît vers l’infini si le taux de natalité est supérieur au taux de mortalité. </w:t>
            </w:r>
          </w:p>
          <w:p w14:paraId="4F7ADB99" w14:textId="77777777" w:rsidR="00BA4470" w:rsidRDefault="00BA4470" w:rsidP="00BA4470">
            <w:pPr>
              <w:spacing w:after="118" w:line="275" w:lineRule="auto"/>
              <w:ind w:right="49"/>
            </w:pPr>
            <w:r>
              <w:rPr>
                <w:sz w:val="22"/>
              </w:rPr>
              <w:t xml:space="preserve">Si les prédictions du modèle de Malthus peuvent se révéler correctes sur un temps court, elles sont irréalistes sur un temps long, notamment en raison de l’insuffisance des ressources disponibles. </w:t>
            </w:r>
          </w:p>
          <w:p w14:paraId="6170B205" w14:textId="37474F9A" w:rsidR="00BA4470" w:rsidRDefault="00BA4470" w:rsidP="00BA4470">
            <w:pPr>
              <w:spacing w:line="276" w:lineRule="auto"/>
              <w:rPr>
                <w:sz w:val="22"/>
              </w:rPr>
            </w:pPr>
            <w:r>
              <w:rPr>
                <w:sz w:val="22"/>
              </w:rPr>
              <w:t xml:space="preserve">Des modèles plus élaborés prévoient que la population mondiale atteindra environ 10 milliards d’humains en 2050. </w:t>
            </w:r>
          </w:p>
        </w:tc>
        <w:tc>
          <w:tcPr>
            <w:tcW w:w="2987" w:type="dxa"/>
          </w:tcPr>
          <w:p w14:paraId="45C5AAAD" w14:textId="77777777" w:rsidR="00BA4470" w:rsidRDefault="00BA4470" w:rsidP="00BA4470">
            <w:pPr>
              <w:spacing w:after="139" w:line="259" w:lineRule="auto"/>
              <w:ind w:left="1"/>
            </w:pPr>
            <w:r>
              <w:rPr>
                <w:sz w:val="22"/>
              </w:rPr>
              <w:lastRenderedPageBreak/>
              <w:t xml:space="preserve">Exprimer </w:t>
            </w:r>
            <w:r>
              <w:rPr>
                <w:i/>
                <w:sz w:val="22"/>
              </w:rPr>
              <w:t>u(n)</w:t>
            </w:r>
            <w:r>
              <w:rPr>
                <w:sz w:val="22"/>
              </w:rPr>
              <w:t xml:space="preserve"> en fonction de </w:t>
            </w:r>
            <w:r>
              <w:rPr>
                <w:i/>
                <w:sz w:val="22"/>
              </w:rPr>
              <w:t>u</w:t>
            </w:r>
            <w:r>
              <w:rPr>
                <w:sz w:val="22"/>
              </w:rPr>
              <w:t xml:space="preserve">(0) et de </w:t>
            </w:r>
            <w:r>
              <w:rPr>
                <w:i/>
                <w:sz w:val="22"/>
              </w:rPr>
              <w:t>n</w:t>
            </w:r>
            <w:r>
              <w:rPr>
                <w:sz w:val="22"/>
              </w:rPr>
              <w:t xml:space="preserve">. </w:t>
            </w:r>
          </w:p>
          <w:p w14:paraId="4B317F9F" w14:textId="77777777" w:rsidR="00BA4470" w:rsidRDefault="00BA4470" w:rsidP="00BA4470">
            <w:pPr>
              <w:spacing w:after="136" w:line="259" w:lineRule="auto"/>
              <w:ind w:left="1"/>
            </w:pPr>
            <w:r>
              <w:rPr>
                <w:sz w:val="22"/>
              </w:rPr>
              <w:t xml:space="preserve"> </w:t>
            </w:r>
          </w:p>
          <w:p w14:paraId="44F9C942" w14:textId="77777777" w:rsidR="00BA4470" w:rsidRDefault="00BA4470" w:rsidP="00BA4470">
            <w:pPr>
              <w:spacing w:after="139" w:line="259" w:lineRule="auto"/>
              <w:ind w:left="1"/>
            </w:pPr>
            <w:r>
              <w:rPr>
                <w:sz w:val="22"/>
              </w:rPr>
              <w:t xml:space="preserve"> </w:t>
            </w:r>
          </w:p>
          <w:p w14:paraId="3DAAC24B" w14:textId="77777777" w:rsidR="00BA4470" w:rsidRDefault="00BA4470" w:rsidP="00BA4470">
            <w:pPr>
              <w:spacing w:after="118" w:line="276" w:lineRule="auto"/>
              <w:ind w:left="1"/>
            </w:pPr>
            <w:r>
              <w:rPr>
                <w:sz w:val="22"/>
              </w:rPr>
              <w:t xml:space="preserve">À partir de données démographiques, calculer le taux de variation d’une population entre deux dates.  </w:t>
            </w:r>
          </w:p>
          <w:p w14:paraId="5AEC7E80" w14:textId="77777777" w:rsidR="00BA4470" w:rsidRDefault="00BA4470" w:rsidP="00BA4470">
            <w:pPr>
              <w:spacing w:after="121" w:line="275" w:lineRule="auto"/>
              <w:ind w:left="1" w:right="49"/>
            </w:pPr>
            <w:r>
              <w:rPr>
                <w:sz w:val="22"/>
              </w:rPr>
              <w:t xml:space="preserve">Calculer l’effectif final d’une population à partir de son effectif initial, de son taux de natalité et de son taux de mortalité. Selon le modèle de Malthus, prédire l’effectif d’une population au bout de </w:t>
            </w:r>
            <w:r>
              <w:rPr>
                <w:i/>
                <w:sz w:val="22"/>
              </w:rPr>
              <w:t>n</w:t>
            </w:r>
            <w:r>
              <w:rPr>
                <w:sz w:val="22"/>
              </w:rPr>
              <w:t xml:space="preserve"> années.  </w:t>
            </w:r>
          </w:p>
          <w:p w14:paraId="3DBDEABD" w14:textId="77777777" w:rsidR="00BA4470" w:rsidRDefault="00BA4470" w:rsidP="00BA4470">
            <w:pPr>
              <w:spacing w:after="139" w:line="259" w:lineRule="auto"/>
              <w:ind w:left="1"/>
            </w:pPr>
            <w:r>
              <w:rPr>
                <w:sz w:val="22"/>
              </w:rPr>
              <w:t xml:space="preserve"> </w:t>
            </w:r>
          </w:p>
          <w:p w14:paraId="39E32043" w14:textId="77777777" w:rsidR="00BA4470" w:rsidRDefault="00BA4470" w:rsidP="00BA4470">
            <w:pPr>
              <w:spacing w:after="121" w:line="275" w:lineRule="auto"/>
              <w:ind w:left="1" w:right="50"/>
            </w:pPr>
            <w:r>
              <w:rPr>
                <w:sz w:val="22"/>
              </w:rPr>
              <w:t xml:space="preserve">À l’aide d’un tableur, d’une calculatrice ou d’une </w:t>
            </w:r>
            <w:r>
              <w:rPr>
                <w:sz w:val="22"/>
              </w:rPr>
              <w:lastRenderedPageBreak/>
              <w:t xml:space="preserve">représentation graphique, calculer le temps de doublement d’une population sous l’hypothèse de croissance exponentielle. </w:t>
            </w:r>
          </w:p>
          <w:p w14:paraId="59598EBE" w14:textId="77777777" w:rsidR="00BA4470" w:rsidRDefault="00BA4470" w:rsidP="00BA4470">
            <w:pPr>
              <w:spacing w:after="136" w:line="259" w:lineRule="auto"/>
              <w:ind w:left="1"/>
            </w:pPr>
            <w:r>
              <w:rPr>
                <w:sz w:val="22"/>
              </w:rPr>
              <w:t xml:space="preserve"> </w:t>
            </w:r>
          </w:p>
          <w:p w14:paraId="5BC5F825" w14:textId="77777777" w:rsidR="00BA4470" w:rsidRDefault="00BA4470" w:rsidP="00BA4470">
            <w:pPr>
              <w:spacing w:after="121" w:line="275" w:lineRule="auto"/>
              <w:ind w:left="1" w:right="51"/>
            </w:pPr>
            <w:r>
              <w:rPr>
                <w:sz w:val="22"/>
              </w:rPr>
              <w:t xml:space="preserve">À partir de documents fournis, proposer un modèle de croissance de ressources alimentaires (par exemple la production mondiale de blé ou de riz) et la comparer à une croissance exponentielle. </w:t>
            </w:r>
          </w:p>
          <w:p w14:paraId="3B6A4933" w14:textId="54CD9D93" w:rsidR="00BA4470" w:rsidRDefault="00BA4470" w:rsidP="00BA4470">
            <w:pPr>
              <w:spacing w:after="139" w:line="259" w:lineRule="auto"/>
              <w:ind w:left="1"/>
              <w:rPr>
                <w:sz w:val="22"/>
              </w:rPr>
            </w:pPr>
            <w:r>
              <w:rPr>
                <w:sz w:val="22"/>
              </w:rPr>
              <w:t xml:space="preserve">Comparer les valeurs fournies par un modèle à des données réelles afin de tester sa validité. </w:t>
            </w:r>
          </w:p>
        </w:tc>
        <w:tc>
          <w:tcPr>
            <w:tcW w:w="2830" w:type="dxa"/>
            <w:tcBorders>
              <w:top w:val="single" w:sz="4" w:space="0" w:color="auto"/>
              <w:bottom w:val="single" w:sz="4" w:space="0" w:color="auto"/>
            </w:tcBorders>
            <w:shd w:val="clear" w:color="auto" w:fill="BDD6EE" w:themeFill="accent5" w:themeFillTint="66"/>
          </w:tcPr>
          <w:p w14:paraId="48F19BDC" w14:textId="6CB083F7" w:rsidR="00BA4470" w:rsidRDefault="00BA4470" w:rsidP="681B9274"/>
          <w:p w14:paraId="7E49AB52" w14:textId="21BC7560" w:rsidR="00BA4470" w:rsidRDefault="00BA4470" w:rsidP="681B9274"/>
          <w:p w14:paraId="2B924749" w14:textId="062020FA" w:rsidR="00BA4470" w:rsidRDefault="00BA4470" w:rsidP="681B9274"/>
          <w:p w14:paraId="3A76C0E6" w14:textId="357FDBA7" w:rsidR="00BA4470" w:rsidRDefault="00BA4470" w:rsidP="681B9274"/>
          <w:p w14:paraId="6B3E56A0" w14:textId="3308FDF6" w:rsidR="00BA4470" w:rsidRDefault="00BA4470" w:rsidP="681B9274"/>
          <w:p w14:paraId="052801B3" w14:textId="7097308F" w:rsidR="00BA4470" w:rsidRDefault="00BA4470" w:rsidP="681B9274"/>
          <w:p w14:paraId="2CC0AA97" w14:textId="24119850" w:rsidR="00BA4470" w:rsidRDefault="00BA4470" w:rsidP="681B9274"/>
          <w:p w14:paraId="0A162ED6" w14:textId="4D9EEE37" w:rsidR="00BA4470" w:rsidRDefault="00BA4470" w:rsidP="681B9274"/>
          <w:p w14:paraId="532C9ED4" w14:textId="080DCC04" w:rsidR="00BA4470" w:rsidRDefault="00BA4470" w:rsidP="681B9274"/>
          <w:p w14:paraId="54D592BE" w14:textId="3831B610" w:rsidR="00BA4470" w:rsidRDefault="00BA4470" w:rsidP="681B9274"/>
          <w:p w14:paraId="65C9AD9F" w14:textId="61823BB1" w:rsidR="00BA4470" w:rsidRDefault="00BA4470" w:rsidP="681B9274"/>
          <w:p w14:paraId="29A8A2CC" w14:textId="48533828" w:rsidR="00BA4470" w:rsidRDefault="00BA4470" w:rsidP="681B9274"/>
          <w:p w14:paraId="700361AA" w14:textId="0AB69608" w:rsidR="00BA4470" w:rsidRDefault="00BA4470" w:rsidP="681B9274"/>
          <w:p w14:paraId="5BFD5832" w14:textId="532A260F" w:rsidR="00BA4470" w:rsidRDefault="00BA4470" w:rsidP="681B9274"/>
          <w:p w14:paraId="30462A26" w14:textId="41F19AFC" w:rsidR="00BA4470" w:rsidRDefault="00BA4470" w:rsidP="681B9274"/>
          <w:p w14:paraId="677CB981" w14:textId="18146E1F" w:rsidR="00BA4470" w:rsidRDefault="00BA4470" w:rsidP="681B9274"/>
          <w:p w14:paraId="521A7328" w14:textId="052F8A9F" w:rsidR="00BA4470" w:rsidRDefault="00BA4470" w:rsidP="681B9274"/>
          <w:p w14:paraId="3E7042DF" w14:textId="5906C4D2" w:rsidR="00BA4470" w:rsidRDefault="00BA4470" w:rsidP="681B9274"/>
          <w:p w14:paraId="3CE4903D" w14:textId="163E93F7" w:rsidR="00BA4470" w:rsidRDefault="00BA4470" w:rsidP="681B9274"/>
          <w:p w14:paraId="30129295" w14:textId="1C54EE45" w:rsidR="00BA4470" w:rsidRDefault="00BA4470" w:rsidP="681B9274"/>
          <w:p w14:paraId="344F9611" w14:textId="610A2C33" w:rsidR="00BA4470" w:rsidRDefault="681B9274" w:rsidP="681B9274">
            <w:pPr>
              <w:rPr>
                <w:rFonts w:ascii="Cambria" w:hAnsi="Cambria"/>
                <w:color w:val="0070C0"/>
                <w:sz w:val="22"/>
                <w:szCs w:val="22"/>
              </w:rPr>
            </w:pPr>
            <w:r w:rsidRPr="681B9274">
              <w:rPr>
                <w:rFonts w:ascii="Cambria" w:hAnsi="Cambria"/>
                <w:color w:val="0070C0"/>
                <w:sz w:val="22"/>
                <w:szCs w:val="22"/>
              </w:rPr>
              <w:t xml:space="preserve">L’analogie avec le sous-thème “radioactivité” développé en classe de première de </w:t>
            </w:r>
            <w:r w:rsidRPr="681B9274">
              <w:rPr>
                <w:rFonts w:ascii="Cambria" w:hAnsi="Cambria"/>
                <w:color w:val="0070C0"/>
                <w:sz w:val="22"/>
                <w:szCs w:val="22"/>
              </w:rPr>
              <w:lastRenderedPageBreak/>
              <w:t>l’Enseignement Scientifique est à remobiliser.</w:t>
            </w:r>
          </w:p>
          <w:p w14:paraId="3BAADD36" w14:textId="01E1336A" w:rsidR="00BA4470" w:rsidRDefault="00BA4470" w:rsidP="681B9274">
            <w:pPr>
              <w:rPr>
                <w:rFonts w:ascii="Cambria" w:hAnsi="Cambria"/>
                <w:color w:val="0070C0"/>
                <w:sz w:val="22"/>
                <w:szCs w:val="22"/>
              </w:rPr>
            </w:pPr>
          </w:p>
          <w:p w14:paraId="6D01D20D" w14:textId="5952D559" w:rsidR="00BA4470" w:rsidRDefault="00BA4470" w:rsidP="681B9274"/>
          <w:p w14:paraId="77870C21" w14:textId="2CEC4648" w:rsidR="00BA4470" w:rsidRDefault="00BA4470" w:rsidP="681B9274"/>
        </w:tc>
        <w:tc>
          <w:tcPr>
            <w:tcW w:w="2405" w:type="dxa"/>
          </w:tcPr>
          <w:p w14:paraId="0DB022F8" w14:textId="1E1E9943" w:rsidR="00BA4470" w:rsidRDefault="00BA4470" w:rsidP="00BA4470"/>
          <w:p w14:paraId="5AE6ECFE" w14:textId="58B0069A" w:rsidR="00BA4470" w:rsidRDefault="00BA4470" w:rsidP="7C9A0712"/>
          <w:p w14:paraId="32541F83" w14:textId="350F9D8A" w:rsidR="00BA4470" w:rsidRDefault="00BA4470" w:rsidP="7C9A0712"/>
          <w:p w14:paraId="44CFD66B" w14:textId="55F21CE8" w:rsidR="00BA4470" w:rsidRDefault="00BA4470" w:rsidP="7C9A0712"/>
          <w:p w14:paraId="5ABB2292" w14:textId="6104BD79" w:rsidR="00BA4470" w:rsidRDefault="00BA4470" w:rsidP="7C9A0712"/>
          <w:p w14:paraId="571D4B2B" w14:textId="3B21E612" w:rsidR="00BA4470" w:rsidRDefault="00BA4470" w:rsidP="7C9A0712"/>
          <w:p w14:paraId="3417658B" w14:textId="6BD831B9" w:rsidR="00BA4470" w:rsidRDefault="00BA4470" w:rsidP="7C9A0712"/>
          <w:p w14:paraId="10A054A6" w14:textId="2EE3B480" w:rsidR="00BA4470" w:rsidRDefault="00BA4470" w:rsidP="7C9A0712"/>
          <w:p w14:paraId="42A511B9" w14:textId="03426EFA" w:rsidR="00BA4470" w:rsidRDefault="00BA4470" w:rsidP="7C9A0712"/>
          <w:p w14:paraId="6AB04A06" w14:textId="59CE84EF" w:rsidR="00BA4470" w:rsidRDefault="00BA4470" w:rsidP="7C9A0712"/>
          <w:p w14:paraId="6FCDF26E" w14:textId="312BD603" w:rsidR="00BA4470" w:rsidRDefault="00BA4470" w:rsidP="7C9A0712"/>
          <w:p w14:paraId="435C4B62" w14:textId="3B2AB6DF" w:rsidR="00BA4470" w:rsidRDefault="00BA4470" w:rsidP="7C9A0712"/>
          <w:p w14:paraId="04BABA17" w14:textId="7AEC4A22" w:rsidR="00BA4470" w:rsidRDefault="00BA4470" w:rsidP="7C9A0712"/>
          <w:p w14:paraId="04F93483" w14:textId="4E2D36E3" w:rsidR="00BA4470" w:rsidRDefault="00BA4470" w:rsidP="7C9A0712"/>
          <w:p w14:paraId="269D4C42" w14:textId="526E2BAB" w:rsidR="00BA4470" w:rsidRDefault="00BA4470" w:rsidP="7C9A0712"/>
          <w:p w14:paraId="0BC41FC5" w14:textId="0810D308" w:rsidR="00BA4470" w:rsidRDefault="00BA4470" w:rsidP="7C9A0712"/>
          <w:p w14:paraId="269A75C5" w14:textId="200C06A3" w:rsidR="00BA4470" w:rsidRDefault="00BA4470" w:rsidP="7C9A0712"/>
          <w:p w14:paraId="689B6A68" w14:textId="4164CC6D" w:rsidR="00BA4470" w:rsidRDefault="00BA4470" w:rsidP="7C9A0712"/>
          <w:p w14:paraId="33136CA4" w14:textId="2E867CC2" w:rsidR="00BA4470" w:rsidRDefault="00BA4470" w:rsidP="7C9A0712"/>
          <w:p w14:paraId="2B5D6F5E" w14:textId="26A7F9FE" w:rsidR="00BA4470" w:rsidRDefault="00BA4470" w:rsidP="7C9A0712"/>
          <w:p w14:paraId="1BC067B3" w14:textId="64BD1654" w:rsidR="00BA4470" w:rsidRDefault="00BA4470" w:rsidP="7C9A0712"/>
          <w:p w14:paraId="4C33061B" w14:textId="60A28182" w:rsidR="00BA4470" w:rsidRDefault="00BA4470" w:rsidP="7C9A0712"/>
          <w:p w14:paraId="5F6AACFB" w14:textId="23B5C9A4" w:rsidR="00BA4470" w:rsidRDefault="00BA4470" w:rsidP="7C9A0712"/>
          <w:p w14:paraId="5D014BC1" w14:textId="5C67D43D" w:rsidR="00BA4470" w:rsidRDefault="00BA4470" w:rsidP="7C9A0712"/>
          <w:p w14:paraId="5F6A421E" w14:textId="267A019A" w:rsidR="00BA4470" w:rsidRDefault="00BA4470" w:rsidP="7C9A0712"/>
          <w:p w14:paraId="7A81B628" w14:textId="159473AB" w:rsidR="00BA4470" w:rsidRDefault="00BA4470" w:rsidP="7C9A0712"/>
          <w:p w14:paraId="26DAA182" w14:textId="695B37E6" w:rsidR="00BA4470" w:rsidRDefault="00BA4470" w:rsidP="7C9A0712"/>
          <w:p w14:paraId="376E2A26" w14:textId="70534EEC" w:rsidR="00BA4470" w:rsidRDefault="00BA4470" w:rsidP="7C9A0712"/>
          <w:p w14:paraId="68AF66A7" w14:textId="35D1F095" w:rsidR="00BA4470" w:rsidRDefault="00BA4470" w:rsidP="7C9A0712"/>
          <w:p w14:paraId="07990861" w14:textId="788C9912" w:rsidR="00BA4470" w:rsidRDefault="7C9A0712" w:rsidP="7C9A0712">
            <w:r w:rsidRPr="7C9A0712">
              <w:rPr>
                <w:color w:val="0070C0"/>
              </w:rPr>
              <w:t>Pouvoir proposer un modèle pour décrire une situation est un objectif du programme. Dans le cadre de la formation, il est tout aussi important que les élèves posent un regard critique du modèle utilisé par confrontation avec la réalité. La compétence “communiquer” est sous-jacente à cette partie.</w:t>
            </w:r>
          </w:p>
          <w:p w14:paraId="0F3A5796" w14:textId="637CF652" w:rsidR="00BA4470" w:rsidRDefault="00BA4470" w:rsidP="7C9A0712"/>
          <w:p w14:paraId="025E3307" w14:textId="415A6E19" w:rsidR="00BA4470" w:rsidRDefault="00BA4470" w:rsidP="7C9A0712"/>
          <w:p w14:paraId="5A1334B0" w14:textId="65636C53" w:rsidR="00BA4470" w:rsidRDefault="00BA4470" w:rsidP="7C9A0712"/>
          <w:p w14:paraId="2E437081" w14:textId="7EA3F353" w:rsidR="00BA4470" w:rsidRDefault="00BA4470" w:rsidP="7C9A0712"/>
          <w:p w14:paraId="5BB5B8EE" w14:textId="38E66BB5" w:rsidR="00BA4470" w:rsidRDefault="00BA4470" w:rsidP="7C9A0712"/>
          <w:p w14:paraId="5D736BB0" w14:textId="5F44F0DE" w:rsidR="00BA4470" w:rsidRDefault="00BA4470" w:rsidP="7C9A0712"/>
          <w:p w14:paraId="068A3111" w14:textId="4484FE7E" w:rsidR="00BA4470" w:rsidRDefault="00BA4470" w:rsidP="7C9A0712"/>
          <w:p w14:paraId="522D331F" w14:textId="28622ACD" w:rsidR="00BA4470" w:rsidRDefault="00BA4470" w:rsidP="7C9A0712"/>
          <w:p w14:paraId="1DBBCDFB" w14:textId="60A7AE2C" w:rsidR="00BA4470" w:rsidRDefault="00BA4470" w:rsidP="7C9A0712"/>
          <w:p w14:paraId="4F5B4653" w14:textId="56C7926D" w:rsidR="00BA4470" w:rsidRDefault="00BA4470" w:rsidP="7C9A0712"/>
          <w:p w14:paraId="5814061A" w14:textId="20315945" w:rsidR="00BA4470" w:rsidRDefault="00BA4470" w:rsidP="7C9A0712"/>
          <w:p w14:paraId="77384178" w14:textId="767F0645" w:rsidR="00BA4470" w:rsidRDefault="00BA4470" w:rsidP="7C9A0712"/>
          <w:p w14:paraId="12E94FB1" w14:textId="239EF19C" w:rsidR="00BA4470" w:rsidRDefault="00BA4470" w:rsidP="7C9A0712"/>
        </w:tc>
        <w:tc>
          <w:tcPr>
            <w:tcW w:w="2977" w:type="dxa"/>
          </w:tcPr>
          <w:p w14:paraId="1BA2FCF7" w14:textId="77777777" w:rsidR="00BA4470" w:rsidRDefault="00BA4470" w:rsidP="00BA4470"/>
        </w:tc>
      </w:tr>
      <w:tr w:rsidR="00BA4470" w14:paraId="6D1D4BBD" w14:textId="77777777" w:rsidTr="7C9A0712">
        <w:tc>
          <w:tcPr>
            <w:tcW w:w="14601" w:type="dxa"/>
            <w:gridSpan w:val="5"/>
          </w:tcPr>
          <w:p w14:paraId="37E3F566" w14:textId="77777777" w:rsidR="00BA4470" w:rsidRDefault="00BA4470" w:rsidP="00BA4470">
            <w:pPr>
              <w:spacing w:after="118" w:line="259" w:lineRule="auto"/>
            </w:pPr>
            <w:r>
              <w:rPr>
                <w:b/>
                <w:color w:val="007F9F"/>
              </w:rPr>
              <w:lastRenderedPageBreak/>
              <w:t xml:space="preserve">Prérequis et limites </w:t>
            </w:r>
          </w:p>
          <w:p w14:paraId="4FB8518C" w14:textId="3F4A2684" w:rsidR="00BA4470" w:rsidRDefault="00BA4470" w:rsidP="00BA4470">
            <w:r>
              <w:rPr>
                <w:sz w:val="22"/>
              </w:rPr>
              <w:t>Différentes notions déjà étudiées</w:t>
            </w:r>
            <w:r>
              <w:rPr>
                <w:color w:val="FF0000"/>
                <w:sz w:val="22"/>
              </w:rPr>
              <w:t xml:space="preserve"> </w:t>
            </w:r>
            <w:r>
              <w:rPr>
                <w:sz w:val="22"/>
              </w:rPr>
              <w:t xml:space="preserve">sont mobilisées : fonctions affines, représentations graphiques de droites, fonction de variable entière et notation </w:t>
            </w:r>
            <w:r>
              <w:rPr>
                <w:i/>
                <w:sz w:val="22"/>
              </w:rPr>
              <w:t>u</w:t>
            </w:r>
            <w:r>
              <w:rPr>
                <w:sz w:val="22"/>
              </w:rPr>
              <w:t>(</w:t>
            </w:r>
            <w:r>
              <w:rPr>
                <w:i/>
                <w:sz w:val="22"/>
              </w:rPr>
              <w:t>n</w:t>
            </w:r>
            <w:r>
              <w:rPr>
                <w:sz w:val="22"/>
              </w:rPr>
              <w:t>). La connaissance de la fonction exponentielle n’est pas exigible</w:t>
            </w:r>
          </w:p>
        </w:tc>
      </w:tr>
    </w:tbl>
    <w:p w14:paraId="741515B0" w14:textId="77777777" w:rsidR="00BA4470" w:rsidRDefault="00455303" w:rsidP="00DD6998">
      <w:pPr>
        <w:widowControl/>
        <w:kinsoku/>
        <w:spacing w:after="160" w:line="259" w:lineRule="auto"/>
      </w:pPr>
      <w:r>
        <w:br w:type="page"/>
      </w:r>
    </w:p>
    <w:tbl>
      <w:tblPr>
        <w:tblStyle w:val="Grilledutableau"/>
        <w:tblW w:w="14601" w:type="dxa"/>
        <w:tblInd w:w="-572" w:type="dxa"/>
        <w:tblLook w:val="04A0" w:firstRow="1" w:lastRow="0" w:firstColumn="1" w:lastColumn="0" w:noHBand="0" w:noVBand="1"/>
      </w:tblPr>
      <w:tblGrid>
        <w:gridCol w:w="3402"/>
        <w:gridCol w:w="2987"/>
        <w:gridCol w:w="2830"/>
        <w:gridCol w:w="2405"/>
        <w:gridCol w:w="2977"/>
      </w:tblGrid>
      <w:tr w:rsidR="00BA4470" w14:paraId="6D6EEF71" w14:textId="77777777" w:rsidTr="7C9A0712">
        <w:tc>
          <w:tcPr>
            <w:tcW w:w="14601" w:type="dxa"/>
            <w:gridSpan w:val="5"/>
          </w:tcPr>
          <w:tbl>
            <w:tblPr>
              <w:tblW w:w="0" w:type="auto"/>
              <w:tblBorders>
                <w:top w:val="nil"/>
                <w:left w:val="nil"/>
                <w:bottom w:val="nil"/>
                <w:right w:val="nil"/>
              </w:tblBorders>
              <w:tblLook w:val="0000" w:firstRow="0" w:lastRow="0" w:firstColumn="0" w:lastColumn="0" w:noHBand="0" w:noVBand="0"/>
            </w:tblPr>
            <w:tblGrid>
              <w:gridCol w:w="14385"/>
            </w:tblGrid>
            <w:tr w:rsidR="00BA4470" w:rsidRPr="00981ECE" w14:paraId="2D71EA20" w14:textId="77777777" w:rsidTr="004446EF">
              <w:trPr>
                <w:trHeight w:val="356"/>
              </w:trPr>
              <w:tc>
                <w:tcPr>
                  <w:tcW w:w="0" w:type="auto"/>
                </w:tcPr>
                <w:tbl>
                  <w:tblPr>
                    <w:tblW w:w="0" w:type="auto"/>
                    <w:tblBorders>
                      <w:top w:val="nil"/>
                      <w:left w:val="nil"/>
                      <w:bottom w:val="nil"/>
                      <w:right w:val="nil"/>
                    </w:tblBorders>
                    <w:tblLook w:val="0000" w:firstRow="0" w:lastRow="0" w:firstColumn="0" w:lastColumn="0" w:noHBand="0" w:noVBand="0"/>
                  </w:tblPr>
                  <w:tblGrid>
                    <w:gridCol w:w="14169"/>
                  </w:tblGrid>
                  <w:tr w:rsidR="00BA4470" w:rsidRPr="00FB4468" w14:paraId="4782399D" w14:textId="77777777" w:rsidTr="004446EF">
                    <w:trPr>
                      <w:trHeight w:val="103"/>
                    </w:trPr>
                    <w:tc>
                      <w:tcPr>
                        <w:tcW w:w="0" w:type="auto"/>
                      </w:tcPr>
                      <w:p w14:paraId="30D51AD3" w14:textId="77777777" w:rsidR="00BA4470" w:rsidRDefault="00BA4470" w:rsidP="00BA4470">
                        <w:pPr>
                          <w:spacing w:after="75" w:line="259" w:lineRule="auto"/>
                        </w:pPr>
                        <w:r>
                          <w:rPr>
                            <w:b/>
                            <w:color w:val="007F9F"/>
                          </w:rPr>
                          <w:lastRenderedPageBreak/>
                          <w:t xml:space="preserve">3.5 L’être humain peut-il externaliser son « intelligence » ? </w:t>
                        </w:r>
                      </w:p>
                      <w:p w14:paraId="7A72D1E9" w14:textId="77777777" w:rsidR="00BA4470" w:rsidRDefault="00BA4470" w:rsidP="00BA4470">
                        <w:pPr>
                          <w:spacing w:line="239" w:lineRule="auto"/>
                          <w:ind w:right="48"/>
                        </w:pPr>
                        <w:r>
                          <w:rPr>
                            <w:i/>
                            <w:sz w:val="22"/>
                          </w:rPr>
                          <w:t>L’être humain n’a cessé d’accroître son pouvoir d’action sur le monde, utilisant son intelligence pour construire des outils et des machines. Il a élaboré un mode de pensée algorithmique susceptible d’être codé dans des langages permettant de commander ces machines. Aujourd’hui, l’intelligence artificielle (IA) permet l’accomplissement de tâches et la résolution de problèmes jusqu’ici réservés aux humains : reconnaître et localiser les objets dans une image, conduire une voiture, traduire un texte, dialoguer, ... Un champ de l’intelligence artificielle ayant permis des applications spectaculaires est celui de l’apprentissage machine.</w:t>
                        </w:r>
                        <w:r>
                          <w:rPr>
                            <w:color w:val="FF0000"/>
                            <w:sz w:val="22"/>
                          </w:rPr>
                          <w:t xml:space="preserve"> </w:t>
                        </w:r>
                        <w:r>
                          <w:rPr>
                            <w:sz w:val="22"/>
                          </w:rPr>
                          <w:t xml:space="preserve"> </w:t>
                        </w:r>
                      </w:p>
                      <w:p w14:paraId="4330F05F" w14:textId="77777777" w:rsidR="00BA4470" w:rsidRPr="00FB4468" w:rsidRDefault="00BA4470" w:rsidP="004446EF">
                        <w:pPr>
                          <w:widowControl/>
                          <w:kinsoku/>
                          <w:autoSpaceDE w:val="0"/>
                          <w:autoSpaceDN w:val="0"/>
                          <w:adjustRightInd w:val="0"/>
                          <w:rPr>
                            <w:rFonts w:ascii="Arial" w:hAnsi="Arial" w:cs="Arial"/>
                            <w:color w:val="000000" w:themeColor="text1"/>
                            <w:sz w:val="22"/>
                            <w:szCs w:val="22"/>
                            <w:lang w:eastAsia="en-US"/>
                          </w:rPr>
                        </w:pPr>
                        <w:r w:rsidRPr="0E3BE76E">
                          <w:rPr>
                            <w:rFonts w:ascii="Arial" w:hAnsi="Arial" w:cs="Arial"/>
                            <w:color w:val="000000" w:themeColor="text1"/>
                            <w:sz w:val="22"/>
                            <w:szCs w:val="22"/>
                            <w:lang w:eastAsia="en-US"/>
                          </w:rPr>
                          <w:t xml:space="preserve">. </w:t>
                        </w:r>
                      </w:p>
                    </w:tc>
                  </w:tr>
                </w:tbl>
                <w:p w14:paraId="69E9125A" w14:textId="77777777" w:rsidR="00BA4470" w:rsidRPr="00981ECE" w:rsidRDefault="00BA4470" w:rsidP="004446EF">
                  <w:pPr>
                    <w:widowControl/>
                    <w:kinsoku/>
                    <w:autoSpaceDE w:val="0"/>
                    <w:autoSpaceDN w:val="0"/>
                    <w:adjustRightInd w:val="0"/>
                    <w:rPr>
                      <w:rFonts w:ascii="Arial" w:eastAsiaTheme="minorHAnsi" w:hAnsi="Arial" w:cs="Arial"/>
                      <w:color w:val="000000"/>
                      <w:sz w:val="22"/>
                      <w:szCs w:val="22"/>
                      <w:lang w:eastAsia="en-US"/>
                    </w:rPr>
                  </w:pPr>
                </w:p>
              </w:tc>
            </w:tr>
          </w:tbl>
          <w:p w14:paraId="062FA8E4" w14:textId="77777777" w:rsidR="00BA4470" w:rsidRDefault="00BA4470" w:rsidP="004446EF"/>
        </w:tc>
      </w:tr>
      <w:tr w:rsidR="00BA4470" w14:paraId="6D3078B4" w14:textId="77777777" w:rsidTr="7C9A0712">
        <w:tc>
          <w:tcPr>
            <w:tcW w:w="3402" w:type="dxa"/>
            <w:vAlign w:val="center"/>
          </w:tcPr>
          <w:p w14:paraId="53E4C03B" w14:textId="77777777" w:rsidR="00BA4470" w:rsidRDefault="00BA4470" w:rsidP="004446EF">
            <w:r>
              <w:rPr>
                <w:rFonts w:ascii="Arial" w:hAnsi="Arial" w:cs="Arial"/>
                <w:b/>
                <w:bCs/>
                <w:sz w:val="22"/>
                <w:szCs w:val="22"/>
              </w:rPr>
              <w:t>Savoirs</w:t>
            </w:r>
          </w:p>
        </w:tc>
        <w:tc>
          <w:tcPr>
            <w:tcW w:w="2987" w:type="dxa"/>
            <w:vAlign w:val="center"/>
          </w:tcPr>
          <w:p w14:paraId="09AF6CC8" w14:textId="77777777" w:rsidR="00BA4470" w:rsidRDefault="00BA4470" w:rsidP="004446EF">
            <w:r>
              <w:rPr>
                <w:rFonts w:ascii="Arial" w:hAnsi="Arial" w:cs="Arial"/>
                <w:b/>
                <w:bCs/>
                <w:sz w:val="22"/>
                <w:szCs w:val="22"/>
              </w:rPr>
              <w:t>Savoir-faire</w:t>
            </w:r>
          </w:p>
        </w:tc>
        <w:tc>
          <w:tcPr>
            <w:tcW w:w="2830" w:type="dxa"/>
            <w:shd w:val="clear" w:color="auto" w:fill="BDD6EE" w:themeFill="accent5" w:themeFillTint="66"/>
          </w:tcPr>
          <w:p w14:paraId="29ECE3DD" w14:textId="77777777" w:rsidR="00BA4470" w:rsidRDefault="00BA4470" w:rsidP="004446EF">
            <w:r>
              <w:rPr>
                <w:rFonts w:asciiTheme="minorHAnsi" w:hAnsiTheme="minorHAnsi" w:cstheme="minorHAnsi"/>
                <w:b/>
              </w:rPr>
              <w:t>Capacités exigibles de remobilisables</w:t>
            </w:r>
          </w:p>
        </w:tc>
        <w:tc>
          <w:tcPr>
            <w:tcW w:w="2405" w:type="dxa"/>
          </w:tcPr>
          <w:p w14:paraId="7FEE5964" w14:textId="77777777" w:rsidR="00BA4470" w:rsidRDefault="00BA4470" w:rsidP="004446EF">
            <w:r w:rsidRPr="000C5D32">
              <w:rPr>
                <w:rFonts w:asciiTheme="minorHAnsi" w:hAnsiTheme="minorHAnsi" w:cstheme="minorHAnsi"/>
                <w:b/>
              </w:rPr>
              <w:t>S</w:t>
            </w:r>
            <w:r>
              <w:rPr>
                <w:rFonts w:asciiTheme="minorHAnsi" w:hAnsiTheme="minorHAnsi" w:cstheme="minorHAnsi"/>
                <w:b/>
              </w:rPr>
              <w:t>aut conceptuel en terminale</w:t>
            </w:r>
          </w:p>
        </w:tc>
        <w:tc>
          <w:tcPr>
            <w:tcW w:w="2977" w:type="dxa"/>
          </w:tcPr>
          <w:p w14:paraId="75E855CC" w14:textId="77777777" w:rsidR="00BA4470" w:rsidRDefault="00BA4470" w:rsidP="004446EF">
            <w:r w:rsidRPr="007F4857">
              <w:rPr>
                <w:rFonts w:asciiTheme="minorHAnsi" w:hAnsiTheme="minorHAnsi" w:cstheme="minorHAnsi"/>
                <w:b/>
              </w:rPr>
              <w:t>Liens avec les programmes de spécialité</w:t>
            </w:r>
          </w:p>
        </w:tc>
      </w:tr>
      <w:tr w:rsidR="00BA4470" w14:paraId="2E56C51D" w14:textId="77777777" w:rsidTr="7C9A0712">
        <w:tc>
          <w:tcPr>
            <w:tcW w:w="3402" w:type="dxa"/>
            <w:vAlign w:val="bottom"/>
          </w:tcPr>
          <w:p w14:paraId="58A35CBE" w14:textId="77777777" w:rsidR="00BA4470" w:rsidRDefault="00BA4470" w:rsidP="00BA4470">
            <w:pPr>
              <w:spacing w:after="115" w:line="278" w:lineRule="auto"/>
              <w:ind w:right="47"/>
            </w:pPr>
            <w:r>
              <w:rPr>
                <w:sz w:val="22"/>
              </w:rPr>
              <w:t>Jusqu’au début du XX</w:t>
            </w:r>
            <w:r>
              <w:rPr>
                <w:sz w:val="22"/>
                <w:vertAlign w:val="superscript"/>
              </w:rPr>
              <w:t>e</w:t>
            </w:r>
            <w:r>
              <w:rPr>
                <w:sz w:val="22"/>
              </w:rPr>
              <w:t xml:space="preserve"> siècle, les machines traitant l’information sont limitées à une ou quelques tâches prédéterminées (tisser grâce à un ruban ou des cartes perforées, trier un jeu de carte perforées, séparer des cartes selon un critère, sommer des valeurs indiquées sur ces cartes, ...).</w:t>
            </w:r>
            <w:r>
              <w:rPr>
                <w:color w:val="FF0000"/>
                <w:sz w:val="22"/>
              </w:rPr>
              <w:t xml:space="preserve"> </w:t>
            </w:r>
            <w:r>
              <w:rPr>
                <w:sz w:val="22"/>
              </w:rPr>
              <w:t xml:space="preserve">Turing a été le premier à proposer le concept de machine universelle qui a été matérialisé dix ans plus tard avec les premiers ordinateurs. Ceux-ci sont constitués </w:t>
            </w:r>
            <w:r>
              <w:rPr>
                <w:i/>
                <w:sz w:val="22"/>
              </w:rPr>
              <w:t>a minima</w:t>
            </w:r>
            <w:r>
              <w:rPr>
                <w:sz w:val="22"/>
              </w:rPr>
              <w:t xml:space="preserve"> d’un processeur et d’une mémoire vive.  </w:t>
            </w:r>
          </w:p>
          <w:p w14:paraId="78E5D498" w14:textId="0E29BF04" w:rsidR="00BA4470" w:rsidRPr="00FB4468" w:rsidRDefault="00BA4470" w:rsidP="00BA4470">
            <w:pPr>
              <w:rPr>
                <w:rFonts w:ascii="Arial" w:hAnsi="Arial" w:cs="Arial"/>
              </w:rPr>
            </w:pPr>
            <w:r>
              <w:rPr>
                <w:sz w:val="22"/>
              </w:rPr>
              <w:t xml:space="preserve">Un ordinateur peut manipuler des données de natures diverses une fois qu'elles ont été numérisées : textes, images, sons. Les programmes sont également des données : ils peuvent être stockés, transportés, et traités par des ordinateurs. En particulier, un </w:t>
            </w:r>
            <w:r>
              <w:rPr>
                <w:sz w:val="22"/>
              </w:rPr>
              <w:lastRenderedPageBreak/>
              <w:t>programme écrit dans un langage de programmation de haut niveau (Python, Scratch, …) peut être traduit en instructions spécifiques à chaque type de processeur.</w:t>
            </w:r>
            <w:r>
              <w:rPr>
                <w:b/>
                <w:color w:val="0070C0"/>
                <w:sz w:val="22"/>
              </w:rPr>
              <w:t xml:space="preserve"> </w:t>
            </w:r>
          </w:p>
        </w:tc>
        <w:tc>
          <w:tcPr>
            <w:tcW w:w="2987" w:type="dxa"/>
            <w:vAlign w:val="center"/>
          </w:tcPr>
          <w:p w14:paraId="7291B5B2" w14:textId="77777777" w:rsidR="00BA4470" w:rsidRDefault="00BA4470" w:rsidP="00BA4470">
            <w:pPr>
              <w:spacing w:after="122" w:line="274" w:lineRule="auto"/>
              <w:ind w:left="1"/>
            </w:pPr>
            <w:r>
              <w:rPr>
                <w:sz w:val="22"/>
              </w:rPr>
              <w:lastRenderedPageBreak/>
              <w:t xml:space="preserve">Analyser des documents historiques relatifs au traitement de l’information et à son automatisation. </w:t>
            </w:r>
          </w:p>
          <w:p w14:paraId="5AF4652C" w14:textId="77777777" w:rsidR="00BA4470" w:rsidRDefault="00BA4470" w:rsidP="00BA4470">
            <w:pPr>
              <w:spacing w:after="139" w:line="259" w:lineRule="auto"/>
              <w:ind w:left="1"/>
            </w:pPr>
            <w:r>
              <w:rPr>
                <w:sz w:val="22"/>
              </w:rPr>
              <w:t xml:space="preserve"> </w:t>
            </w:r>
          </w:p>
          <w:p w14:paraId="6CDA3E65" w14:textId="77777777" w:rsidR="00BA4470" w:rsidRDefault="00BA4470" w:rsidP="00BA4470">
            <w:pPr>
              <w:spacing w:after="1" w:line="275" w:lineRule="auto"/>
              <w:ind w:left="1" w:right="48"/>
            </w:pPr>
            <w:r>
              <w:rPr>
                <w:sz w:val="22"/>
              </w:rPr>
              <w:t xml:space="preserve">Recenser les différentes situations de la vie courante où sont utilisés les ordinateurs, identifier lesquels sont programmables et par qui (thermostat d'ambiance, smartphone, box internet, ordinateur de bord d'une voiture, …). </w:t>
            </w:r>
          </w:p>
          <w:p w14:paraId="0B989ABC" w14:textId="77777777" w:rsidR="00BA4470" w:rsidRDefault="00BA4470" w:rsidP="00BA4470">
            <w:pPr>
              <w:spacing w:after="19" w:line="259" w:lineRule="auto"/>
              <w:ind w:left="1"/>
            </w:pPr>
            <w:r>
              <w:rPr>
                <w:sz w:val="22"/>
              </w:rPr>
              <w:t xml:space="preserve"> </w:t>
            </w:r>
          </w:p>
          <w:p w14:paraId="7874E374" w14:textId="77777777" w:rsidR="00BA4470" w:rsidRDefault="00BA4470" w:rsidP="00BA4470">
            <w:pPr>
              <w:spacing w:after="136" w:line="259" w:lineRule="auto"/>
              <w:ind w:left="1"/>
            </w:pPr>
            <w:r>
              <w:rPr>
                <w:sz w:val="22"/>
              </w:rPr>
              <w:t xml:space="preserve"> </w:t>
            </w:r>
          </w:p>
          <w:p w14:paraId="3746CC15" w14:textId="77777777" w:rsidR="00BA4470" w:rsidRDefault="00BA4470" w:rsidP="00BA4470">
            <w:pPr>
              <w:spacing w:after="120" w:line="276" w:lineRule="auto"/>
              <w:ind w:left="1"/>
            </w:pPr>
            <w:r>
              <w:rPr>
                <w:sz w:val="22"/>
              </w:rPr>
              <w:t xml:space="preserve">Savoir distinguer les fichiers exécutables des autres fichiers sous un système d’exploitation donné.  </w:t>
            </w:r>
          </w:p>
          <w:p w14:paraId="32100DAF" w14:textId="77777777" w:rsidR="00BA4470" w:rsidRDefault="00BA4470" w:rsidP="00BA4470">
            <w:pPr>
              <w:spacing w:after="122" w:line="274" w:lineRule="auto"/>
              <w:ind w:left="1"/>
            </w:pPr>
            <w:r>
              <w:rPr>
                <w:sz w:val="22"/>
              </w:rPr>
              <w:lastRenderedPageBreak/>
              <w:t xml:space="preserve">Connaître l’ordre de grandeur de la taille d’un fichier image, son, vidéo.  </w:t>
            </w:r>
          </w:p>
          <w:p w14:paraId="129689F5" w14:textId="2CE9B410" w:rsidR="00BA4470" w:rsidRPr="00FB4468" w:rsidRDefault="00BA4470" w:rsidP="00BA4470">
            <w:pPr>
              <w:rPr>
                <w:rFonts w:ascii="Arial" w:hAnsi="Arial" w:cs="Arial"/>
              </w:rPr>
            </w:pPr>
            <w:r>
              <w:rPr>
                <w:sz w:val="22"/>
              </w:rPr>
              <w:t>Savoir calculer la taille en octets d’une page de texte (en ASCII et non compressé).</w:t>
            </w:r>
            <w:r>
              <w:rPr>
                <w:b/>
                <w:color w:val="0070C0"/>
                <w:sz w:val="22"/>
              </w:rPr>
              <w:t xml:space="preserve"> </w:t>
            </w:r>
          </w:p>
        </w:tc>
        <w:tc>
          <w:tcPr>
            <w:tcW w:w="2830" w:type="dxa"/>
            <w:tcBorders>
              <w:top w:val="single" w:sz="4" w:space="0" w:color="auto"/>
              <w:bottom w:val="single" w:sz="4" w:space="0" w:color="auto"/>
            </w:tcBorders>
            <w:shd w:val="clear" w:color="auto" w:fill="BDD6EE" w:themeFill="accent5" w:themeFillTint="66"/>
          </w:tcPr>
          <w:p w14:paraId="343742BD" w14:textId="235E907B" w:rsidR="00BA4470" w:rsidRDefault="00BA4470" w:rsidP="00BA4470"/>
        </w:tc>
        <w:tc>
          <w:tcPr>
            <w:tcW w:w="2405" w:type="dxa"/>
          </w:tcPr>
          <w:p w14:paraId="4708121E" w14:textId="7B71796F" w:rsidR="00BA4470" w:rsidRDefault="7C9A0712" w:rsidP="7C9A0712">
            <w:r w:rsidRPr="7C9A0712">
              <w:rPr>
                <w:color w:val="0070C0"/>
              </w:rPr>
              <w:t>Les élèves, en classe de Seconde, ont été sensibilisés au Sciences du Numérique.</w:t>
            </w:r>
          </w:p>
        </w:tc>
        <w:tc>
          <w:tcPr>
            <w:tcW w:w="2977" w:type="dxa"/>
          </w:tcPr>
          <w:p w14:paraId="1BABF15A" w14:textId="0AD0CAB0" w:rsidR="00BA4470" w:rsidRDefault="7C9A0712" w:rsidP="00BA4470">
            <w:r w:rsidRPr="7C9A0712">
              <w:rPr>
                <w:color w:val="0070C0"/>
              </w:rPr>
              <w:t>Les élèves suivant l’enseignement de spécialité NSI étudient (en première et en terminale) des notions proches de celles abordées en Enseignement Scientifique : notamment l’histoire de l’informatique, les réseaux et les langages de programmation (dont Python).</w:t>
            </w:r>
          </w:p>
        </w:tc>
      </w:tr>
      <w:tr w:rsidR="00BA4470" w14:paraId="51DF5762" w14:textId="77777777" w:rsidTr="7C9A0712">
        <w:tc>
          <w:tcPr>
            <w:tcW w:w="3402" w:type="dxa"/>
            <w:vAlign w:val="bottom"/>
          </w:tcPr>
          <w:p w14:paraId="2AC804BA" w14:textId="6ADB3310" w:rsidR="00BA4470" w:rsidRDefault="00BA4470" w:rsidP="00BA4470">
            <w:pPr>
              <w:rPr>
                <w:sz w:val="22"/>
              </w:rPr>
            </w:pPr>
            <w:r>
              <w:rPr>
                <w:sz w:val="22"/>
              </w:rPr>
              <w:t xml:space="preserve">Un programme peut comporter jusqu’à plusieurs centaines de millions de lignes de code, ce qui rend très probable la présence d’erreurs appelées bogues (ou </w:t>
            </w:r>
            <w:r>
              <w:rPr>
                <w:i/>
                <w:sz w:val="22"/>
              </w:rPr>
              <w:t>bugs</w:t>
            </w:r>
            <w:r>
              <w:rPr>
                <w:sz w:val="22"/>
              </w:rPr>
              <w:t xml:space="preserve">). Ces erreurs peuvent conduire un programme à avoir un comportement inattendu et entraîner des conséquences graves. </w:t>
            </w:r>
          </w:p>
        </w:tc>
        <w:tc>
          <w:tcPr>
            <w:tcW w:w="2987" w:type="dxa"/>
            <w:vAlign w:val="center"/>
          </w:tcPr>
          <w:p w14:paraId="7642D3D6" w14:textId="77777777" w:rsidR="00BA4470" w:rsidRDefault="00BA4470" w:rsidP="00BA4470">
            <w:pPr>
              <w:spacing w:after="121" w:line="275" w:lineRule="auto"/>
              <w:ind w:left="1" w:right="52"/>
            </w:pPr>
            <w:r>
              <w:rPr>
                <w:sz w:val="22"/>
              </w:rPr>
              <w:t xml:space="preserve">Étant donné un programme très simple, proposer des jeux de données d’entrée permettant d’en tester toutes les lignes. </w:t>
            </w:r>
          </w:p>
          <w:p w14:paraId="566A2F6E" w14:textId="7CC5AFA6" w:rsidR="00BA4470" w:rsidRDefault="00BA4470" w:rsidP="00BA4470">
            <w:pPr>
              <w:spacing w:after="139" w:line="259" w:lineRule="auto"/>
              <w:ind w:left="1"/>
              <w:rPr>
                <w:sz w:val="22"/>
              </w:rPr>
            </w:pPr>
            <w:r>
              <w:rPr>
                <w:sz w:val="22"/>
              </w:rPr>
              <w:t xml:space="preserve">Corriger un algorithme ou un programme bogué simple. </w:t>
            </w:r>
          </w:p>
        </w:tc>
        <w:tc>
          <w:tcPr>
            <w:tcW w:w="2830" w:type="dxa"/>
            <w:tcBorders>
              <w:top w:val="single" w:sz="4" w:space="0" w:color="auto"/>
              <w:bottom w:val="single" w:sz="4" w:space="0" w:color="auto"/>
            </w:tcBorders>
            <w:shd w:val="clear" w:color="auto" w:fill="BDD6EE" w:themeFill="accent5" w:themeFillTint="66"/>
          </w:tcPr>
          <w:p w14:paraId="42AA8353" w14:textId="04C0A037" w:rsidR="00BA4470" w:rsidRDefault="00BA4470" w:rsidP="7C9A0712">
            <w:pPr>
              <w:rPr>
                <w:color w:val="0070C0"/>
              </w:rPr>
            </w:pPr>
          </w:p>
        </w:tc>
        <w:tc>
          <w:tcPr>
            <w:tcW w:w="2405" w:type="dxa"/>
          </w:tcPr>
          <w:p w14:paraId="227CE45E" w14:textId="77777777" w:rsidR="00BA4470" w:rsidRDefault="00BA4470" w:rsidP="00BA4470"/>
        </w:tc>
        <w:tc>
          <w:tcPr>
            <w:tcW w:w="2977" w:type="dxa"/>
          </w:tcPr>
          <w:p w14:paraId="2C519C21" w14:textId="77777777" w:rsidR="00BA4470" w:rsidRDefault="00BA4470" w:rsidP="00BA4470"/>
        </w:tc>
      </w:tr>
      <w:tr w:rsidR="00BA4470" w14:paraId="3E018A80" w14:textId="77777777" w:rsidTr="7C9A0712">
        <w:tc>
          <w:tcPr>
            <w:tcW w:w="3402" w:type="dxa"/>
          </w:tcPr>
          <w:p w14:paraId="46F07DB2" w14:textId="77777777" w:rsidR="00BA4470" w:rsidRDefault="00BA4470" w:rsidP="00BA4470">
            <w:pPr>
              <w:spacing w:after="118" w:line="275" w:lineRule="auto"/>
              <w:ind w:right="48"/>
              <w:rPr>
                <w:sz w:val="22"/>
              </w:rPr>
            </w:pPr>
            <w:r>
              <w:rPr>
                <w:sz w:val="22"/>
              </w:rPr>
              <w:t xml:space="preserve">Le terme « intelligence artificielle » (IA) recouvre un ensemble de théories et de techniques qui traite de problèmes dont la résolution fait appel à l’intelligence humaine. </w:t>
            </w:r>
          </w:p>
          <w:p w14:paraId="13130263" w14:textId="77777777" w:rsidR="00BA4470" w:rsidRDefault="00BA4470" w:rsidP="00BA4470">
            <w:pPr>
              <w:spacing w:after="118" w:line="275" w:lineRule="auto"/>
              <w:ind w:right="48"/>
            </w:pPr>
            <w:r>
              <w:rPr>
                <w:sz w:val="22"/>
              </w:rPr>
              <w:t xml:space="preserve">L’apprentissage machine (ou « apprentissage automatique ») utilise des programmes capables de s’entraîner à partir de données. Il exploite des méthodes mathématiques qui, à partir du repérage de tendances (corrélations, similarités) sur de très grandes quantités de données (big data), permet de faire des prédictions ou de prendre des </w:t>
            </w:r>
            <w:r>
              <w:rPr>
                <w:sz w:val="22"/>
              </w:rPr>
              <w:lastRenderedPageBreak/>
              <w:t xml:space="preserve">décisions sur d’autres données. </w:t>
            </w:r>
          </w:p>
          <w:p w14:paraId="73DC6426" w14:textId="5B4F58F2" w:rsidR="00BA4470" w:rsidRDefault="00BA4470" w:rsidP="00BA4470">
            <w:pPr>
              <w:rPr>
                <w:sz w:val="22"/>
              </w:rPr>
            </w:pPr>
            <w:r>
              <w:rPr>
                <w:sz w:val="22"/>
              </w:rPr>
              <w:t>La qualité et la représentativité des données d’entraînement sont essentielles pour la qualité des résultats. Les biais dans les données peuvent se retrouver amplifiés dans les résultats.</w:t>
            </w:r>
          </w:p>
        </w:tc>
        <w:tc>
          <w:tcPr>
            <w:tcW w:w="2987" w:type="dxa"/>
            <w:vAlign w:val="bottom"/>
          </w:tcPr>
          <w:p w14:paraId="0E14129C" w14:textId="77777777" w:rsidR="00BA4470" w:rsidRDefault="00BA4470" w:rsidP="00BA4470">
            <w:pPr>
              <w:spacing w:after="120" w:line="276" w:lineRule="auto"/>
              <w:ind w:left="1"/>
            </w:pPr>
            <w:r>
              <w:rPr>
                <w:sz w:val="22"/>
              </w:rPr>
              <w:lastRenderedPageBreak/>
              <w:t xml:space="preserve">Analyser des documents relatifs à une application de l’intelligence artificielle. </w:t>
            </w:r>
          </w:p>
          <w:p w14:paraId="331AA438" w14:textId="77777777" w:rsidR="00BA4470" w:rsidRDefault="00BA4470" w:rsidP="00BA4470">
            <w:pPr>
              <w:spacing w:after="136" w:line="259" w:lineRule="auto"/>
              <w:ind w:left="1"/>
            </w:pPr>
            <w:r>
              <w:rPr>
                <w:sz w:val="22"/>
              </w:rPr>
              <w:t xml:space="preserve"> </w:t>
            </w:r>
          </w:p>
          <w:p w14:paraId="201ABF01" w14:textId="77777777" w:rsidR="00BA4470" w:rsidRDefault="00BA4470" w:rsidP="00BA4470">
            <w:pPr>
              <w:spacing w:after="122" w:line="274" w:lineRule="auto"/>
            </w:pPr>
            <w:r>
              <w:rPr>
                <w:sz w:val="22"/>
              </w:rPr>
              <w:t xml:space="preserve">Utiliser une courbe de tendance (encore appelée courbe de régression) pour estimer une valeur inconnue à partir de données d’entraînement. </w:t>
            </w:r>
          </w:p>
          <w:p w14:paraId="3D1E47DB" w14:textId="77777777" w:rsidR="00BA4470" w:rsidRDefault="00BA4470" w:rsidP="00BA4470">
            <w:pPr>
              <w:spacing w:after="121" w:line="275" w:lineRule="auto"/>
              <w:ind w:right="53"/>
            </w:pPr>
            <w:r>
              <w:rPr>
                <w:sz w:val="22"/>
              </w:rPr>
              <w:t xml:space="preserve">Analyser un exemple d’utilisation de l’intelligence artificielle : identifier la source des données utilisées et les corrélations exploitées. </w:t>
            </w:r>
          </w:p>
          <w:p w14:paraId="4DB762C4" w14:textId="77777777" w:rsidR="00BA4470" w:rsidRDefault="00BA4470" w:rsidP="00BA4470">
            <w:pPr>
              <w:spacing w:after="120" w:line="276" w:lineRule="auto"/>
            </w:pPr>
            <w:r>
              <w:rPr>
                <w:sz w:val="22"/>
              </w:rPr>
              <w:lastRenderedPageBreak/>
              <w:t xml:space="preserve">Sur des exemples réels, reconnaître les possibles biais dans les données, les limites de la représentativité.  </w:t>
            </w:r>
          </w:p>
          <w:p w14:paraId="68FAF8E4" w14:textId="0F54DA9D" w:rsidR="00BA4470" w:rsidRDefault="00BA4470" w:rsidP="00BA4470">
            <w:pPr>
              <w:spacing w:after="139" w:line="259" w:lineRule="auto"/>
              <w:ind w:left="1"/>
              <w:rPr>
                <w:sz w:val="22"/>
              </w:rPr>
            </w:pPr>
            <w:r>
              <w:rPr>
                <w:sz w:val="22"/>
              </w:rPr>
              <w:t>Expliquer pourquoi certains usages de l'IA peuvent poser des problèmes éthiques.</w:t>
            </w:r>
          </w:p>
        </w:tc>
        <w:tc>
          <w:tcPr>
            <w:tcW w:w="2830" w:type="dxa"/>
            <w:tcBorders>
              <w:top w:val="single" w:sz="4" w:space="0" w:color="auto"/>
              <w:bottom w:val="single" w:sz="4" w:space="0" w:color="auto"/>
            </w:tcBorders>
            <w:shd w:val="clear" w:color="auto" w:fill="BDD6EE" w:themeFill="accent5" w:themeFillTint="66"/>
          </w:tcPr>
          <w:p w14:paraId="01C3D1EE" w14:textId="1A1A708A" w:rsidR="00BA4470" w:rsidRDefault="00BA4470" w:rsidP="00BA4470"/>
          <w:p w14:paraId="37157CE5" w14:textId="47CF4357" w:rsidR="00BA4470" w:rsidRDefault="00BA4470" w:rsidP="7C9A0712"/>
          <w:p w14:paraId="6CD35A7B" w14:textId="37030E5A" w:rsidR="00BA4470" w:rsidRDefault="00BA4470" w:rsidP="7C9A0712"/>
          <w:p w14:paraId="25B9FF50" w14:textId="50D08246" w:rsidR="00BA4470" w:rsidRDefault="00BA4470" w:rsidP="7C9A0712"/>
          <w:p w14:paraId="5CA0E2BE" w14:textId="4AA2B7F0" w:rsidR="00BA4470" w:rsidRDefault="00BA4470" w:rsidP="7C9A0712"/>
          <w:p w14:paraId="7F2B4307" w14:textId="49105A3E" w:rsidR="00BA4470" w:rsidRDefault="7C9A0712" w:rsidP="7C9A0712">
            <w:r w:rsidRPr="7C9A0712">
              <w:rPr>
                <w:color w:val="0070C0"/>
              </w:rPr>
              <w:t xml:space="preserve"> </w:t>
            </w:r>
          </w:p>
        </w:tc>
        <w:tc>
          <w:tcPr>
            <w:tcW w:w="2405" w:type="dxa"/>
          </w:tcPr>
          <w:p w14:paraId="7A816C7E" w14:textId="29015AFD" w:rsidR="00BA4470" w:rsidRDefault="00BA4470" w:rsidP="00BA4470"/>
          <w:p w14:paraId="10ECD6EA" w14:textId="4184706B" w:rsidR="00BA4470" w:rsidRDefault="00BA4470" w:rsidP="7C9A0712"/>
          <w:p w14:paraId="4A28AA64" w14:textId="5F10CBF4" w:rsidR="00BA4470" w:rsidRDefault="00BA4470" w:rsidP="7C9A0712"/>
          <w:p w14:paraId="054914BF" w14:textId="1614B2AB" w:rsidR="00BA4470" w:rsidRDefault="00BA4470" w:rsidP="7C9A0712"/>
          <w:p w14:paraId="42B83469" w14:textId="358F0DF1" w:rsidR="00BA4470" w:rsidRDefault="00BA4470" w:rsidP="7C9A0712"/>
          <w:p w14:paraId="6CF00C01" w14:textId="65B02325" w:rsidR="00BA4470" w:rsidRDefault="7C9A0712" w:rsidP="7C9A0712">
            <w:r w:rsidRPr="7C9A0712">
              <w:rPr>
                <w:color w:val="0070C0"/>
              </w:rPr>
              <w:t>Le lien avec le sous-thème “Les modèle démographique” peut être établi.</w:t>
            </w:r>
          </w:p>
          <w:p w14:paraId="30C22EE7" w14:textId="531CA86A" w:rsidR="00BA4470" w:rsidRDefault="7C9A0712" w:rsidP="7C9A0712">
            <w:pPr>
              <w:rPr>
                <w:color w:val="0070C0"/>
              </w:rPr>
            </w:pPr>
            <w:r w:rsidRPr="7C9A0712">
              <w:rPr>
                <w:color w:val="0070C0"/>
              </w:rPr>
              <w:t>La compréhension de certains phénomènes peut s’établir à l’aide de simulations telles l’algorithme du plus proche voisin.</w:t>
            </w:r>
          </w:p>
          <w:p w14:paraId="39B75B94" w14:textId="1365EBF8" w:rsidR="00BA4470" w:rsidRDefault="7C9A0712" w:rsidP="7C9A0712">
            <w:pPr>
              <w:rPr>
                <w:color w:val="0070C0"/>
              </w:rPr>
            </w:pPr>
            <w:r w:rsidRPr="7C9A0712">
              <w:rPr>
                <w:color w:val="0070C0"/>
              </w:rPr>
              <w:t>Ces outils doivent être au service de débats, notamment éthiques.</w:t>
            </w:r>
          </w:p>
        </w:tc>
        <w:tc>
          <w:tcPr>
            <w:tcW w:w="2977" w:type="dxa"/>
          </w:tcPr>
          <w:p w14:paraId="4A41164E" w14:textId="77777777" w:rsidR="00BA4470" w:rsidRDefault="00BA4470" w:rsidP="00BA4470"/>
        </w:tc>
      </w:tr>
      <w:tr w:rsidR="00BA4470" w14:paraId="64F551AC" w14:textId="77777777" w:rsidTr="7C9A0712">
        <w:tc>
          <w:tcPr>
            <w:tcW w:w="3402" w:type="dxa"/>
            <w:vAlign w:val="bottom"/>
          </w:tcPr>
          <w:p w14:paraId="4553719B" w14:textId="77777777" w:rsidR="00BA4470" w:rsidRDefault="00BA4470" w:rsidP="00BA4470">
            <w:pPr>
              <w:spacing w:line="275" w:lineRule="auto"/>
              <w:ind w:right="50"/>
            </w:pPr>
            <w:r>
              <w:rPr>
                <w:sz w:val="22"/>
              </w:rPr>
              <w:t xml:space="preserve">L’inférence bayésienne est une méthode de calcul de probabilités de causes à partir des probabilités de leurs effets. Elle est utilisée en apprentissage automatique pour modéliser des relations au sein de systèmes complexes, notamment en vue de prononcer un diagnostic (médical, industriel, détection de spam, …). Cela permet de détecter une anomalie à partir d’un test imparfait. </w:t>
            </w:r>
          </w:p>
          <w:p w14:paraId="69CB7343" w14:textId="2D3A2678" w:rsidR="00BA4470" w:rsidRDefault="00BA4470" w:rsidP="00BA4470">
            <w:pPr>
              <w:jc w:val="right"/>
              <w:rPr>
                <w:sz w:val="22"/>
              </w:rPr>
            </w:pPr>
            <w:r>
              <w:rPr>
                <w:rFonts w:eastAsia="Times New Roman"/>
                <w:sz w:val="22"/>
              </w:rPr>
              <w:t xml:space="preserve"> </w:t>
            </w:r>
          </w:p>
        </w:tc>
        <w:tc>
          <w:tcPr>
            <w:tcW w:w="2987" w:type="dxa"/>
          </w:tcPr>
          <w:p w14:paraId="2AE2974C" w14:textId="77777777" w:rsidR="00BA4470" w:rsidRDefault="00BA4470" w:rsidP="00BA4470">
            <w:pPr>
              <w:spacing w:after="118" w:line="275" w:lineRule="auto"/>
              <w:ind w:right="50"/>
            </w:pPr>
            <w:r>
              <w:rPr>
                <w:sz w:val="22"/>
              </w:rPr>
              <w:t xml:space="preserve">À partir de données, par exemple issues d’un diagnostic médical fondé sur un test, produire un tableau de contingence afin de calculer des fréquences de faux positifs, faux négatifs, vrais positifs, vrais négatifs. En déduire le nombre de personnes malades suivant leur résultat au test.  </w:t>
            </w:r>
          </w:p>
          <w:p w14:paraId="3D11C6AE" w14:textId="51D2FFF2" w:rsidR="00BA4470" w:rsidRDefault="00BA4470" w:rsidP="00BA4470">
            <w:pPr>
              <w:spacing w:after="139" w:line="259" w:lineRule="auto"/>
              <w:ind w:left="1"/>
              <w:rPr>
                <w:sz w:val="22"/>
              </w:rPr>
            </w:pPr>
            <w:r>
              <w:rPr>
                <w:sz w:val="22"/>
              </w:rPr>
              <w:t xml:space="preserve"> </w:t>
            </w:r>
          </w:p>
        </w:tc>
        <w:tc>
          <w:tcPr>
            <w:tcW w:w="2830" w:type="dxa"/>
            <w:tcBorders>
              <w:top w:val="single" w:sz="4" w:space="0" w:color="auto"/>
              <w:bottom w:val="single" w:sz="4" w:space="0" w:color="auto"/>
            </w:tcBorders>
            <w:shd w:val="clear" w:color="auto" w:fill="BDD6EE" w:themeFill="accent5" w:themeFillTint="66"/>
          </w:tcPr>
          <w:p w14:paraId="6DFFC5EB" w14:textId="77777777" w:rsidR="00BA4470" w:rsidRDefault="00BA4470" w:rsidP="00BA4470"/>
        </w:tc>
        <w:tc>
          <w:tcPr>
            <w:tcW w:w="2405" w:type="dxa"/>
          </w:tcPr>
          <w:p w14:paraId="0858B7DE" w14:textId="19A1CCB6" w:rsidR="00BA4470" w:rsidRDefault="7C9A0712" w:rsidP="00BA4470">
            <w:r w:rsidRPr="7C9A0712">
              <w:rPr>
                <w:color w:val="0070C0"/>
              </w:rPr>
              <w:t>La notion d’inférence bayésienne est une notion nouvelle. Cependant, dans le cadre de leur parcours en mathématiques, les élèves ont pu être confrontés, en utilisant par exemple des tableaux à double entrée, de façon empirique, à cette nouvelle notion.</w:t>
            </w:r>
          </w:p>
        </w:tc>
        <w:tc>
          <w:tcPr>
            <w:tcW w:w="2977" w:type="dxa"/>
          </w:tcPr>
          <w:p w14:paraId="293904A0" w14:textId="368742EE" w:rsidR="00BA4470" w:rsidRDefault="7C9A0712" w:rsidP="00BA4470">
            <w:r w:rsidRPr="7C9A0712">
              <w:rPr>
                <w:color w:val="0070C0"/>
              </w:rPr>
              <w:t>L’inférence bayesienne est traitée par les élèves suivant l’enseignement optionnel “mathématiques complémentaires”.</w:t>
            </w:r>
          </w:p>
          <w:p w14:paraId="4E927DEA" w14:textId="01D39C29" w:rsidR="00BA4470" w:rsidRDefault="7C9A0712" w:rsidP="7C9A0712">
            <w:pPr>
              <w:rPr>
                <w:color w:val="0070C0"/>
              </w:rPr>
            </w:pPr>
            <w:r w:rsidRPr="7C9A0712">
              <w:rPr>
                <w:color w:val="0070C0"/>
              </w:rPr>
              <w:t>Les notions de probabilités conditionnelles sont traitées en classe de première spécialité mathématique.</w:t>
            </w:r>
          </w:p>
        </w:tc>
      </w:tr>
      <w:tr w:rsidR="00BA4470" w14:paraId="34B40684" w14:textId="77777777" w:rsidTr="7C9A0712">
        <w:tc>
          <w:tcPr>
            <w:tcW w:w="14601" w:type="dxa"/>
            <w:gridSpan w:val="5"/>
          </w:tcPr>
          <w:p w14:paraId="2E53DB2B" w14:textId="77777777" w:rsidR="00934ECA" w:rsidRDefault="00934ECA" w:rsidP="00934ECA">
            <w:pPr>
              <w:spacing w:after="120" w:line="259" w:lineRule="auto"/>
            </w:pPr>
            <w:r>
              <w:rPr>
                <w:b/>
                <w:color w:val="007F9F"/>
              </w:rPr>
              <w:t xml:space="preserve">Prérequis et limites </w:t>
            </w:r>
          </w:p>
          <w:p w14:paraId="1AE094AA" w14:textId="620BD0CB" w:rsidR="00BA4470" w:rsidRDefault="00934ECA" w:rsidP="00934ECA">
            <w:r>
              <w:rPr>
                <w:sz w:val="22"/>
              </w:rPr>
              <w:t>Les probabilités étant assimilées à des fréquences, il est possible de raisonner sur des tableaux à double entrée sans faire appel explicitement à la théorie des probabilités conditionnelles ni à la formule de Bayes.</w:t>
            </w:r>
          </w:p>
        </w:tc>
      </w:tr>
    </w:tbl>
    <w:p w14:paraId="1579359F" w14:textId="1D662E90" w:rsidR="00F81B10" w:rsidRDefault="00F81B10" w:rsidP="00DD6998">
      <w:pPr>
        <w:widowControl/>
        <w:kinsoku/>
        <w:spacing w:after="160" w:line="259" w:lineRule="auto"/>
      </w:pPr>
    </w:p>
    <w:p w14:paraId="4A6AF2E5" w14:textId="77777777" w:rsidR="00F81B10" w:rsidRDefault="00F81B10"/>
    <w:p w14:paraId="0D462D4F" w14:textId="5844F78E" w:rsidR="00AB6432" w:rsidRDefault="00AB6432"/>
    <w:p w14:paraId="68D9E3D7" w14:textId="0A06A678" w:rsidR="00AB6432" w:rsidRDefault="00AB6432"/>
    <w:p w14:paraId="3C2D0AA2" w14:textId="26FDB5CE" w:rsidR="00AB6432" w:rsidRDefault="00AB6432"/>
    <w:p w14:paraId="712B415B" w14:textId="77777777" w:rsidR="000C5D32" w:rsidRDefault="000C5D32"/>
    <w:sectPr w:rsidR="000C5D32" w:rsidSect="000C5D3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F3AC7" w14:textId="77777777" w:rsidR="00C7728E" w:rsidRDefault="00C7728E" w:rsidP="000C5D32">
      <w:r>
        <w:separator/>
      </w:r>
    </w:p>
  </w:endnote>
  <w:endnote w:type="continuationSeparator" w:id="0">
    <w:p w14:paraId="36C245F4" w14:textId="77777777" w:rsidR="00C7728E" w:rsidRDefault="00C7728E" w:rsidP="000C5D32">
      <w:r>
        <w:continuationSeparator/>
      </w:r>
    </w:p>
  </w:endnote>
  <w:endnote w:type="continuationNotice" w:id="1">
    <w:p w14:paraId="3930C4E1" w14:textId="77777777" w:rsidR="00C7728E" w:rsidRDefault="00C77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55A91" w14:textId="77777777" w:rsidR="00C7728E" w:rsidRDefault="00C7728E" w:rsidP="000C5D32">
      <w:r>
        <w:separator/>
      </w:r>
    </w:p>
  </w:footnote>
  <w:footnote w:type="continuationSeparator" w:id="0">
    <w:p w14:paraId="1061E228" w14:textId="77777777" w:rsidR="00C7728E" w:rsidRDefault="00C7728E" w:rsidP="000C5D32">
      <w:r>
        <w:continuationSeparator/>
      </w:r>
    </w:p>
  </w:footnote>
  <w:footnote w:type="continuationNotice" w:id="1">
    <w:p w14:paraId="77066E3D" w14:textId="77777777" w:rsidR="00C7728E" w:rsidRDefault="00C772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F8E"/>
    <w:multiLevelType w:val="multilevel"/>
    <w:tmpl w:val="1A101D26"/>
    <w:lvl w:ilvl="0">
      <w:start w:val="1"/>
      <w:numFmt w:val="decimal"/>
      <w:lvlText w:val="%1"/>
      <w:lvlJc w:val="left"/>
      <w:pPr>
        <w:ind w:left="375" w:hanging="375"/>
      </w:pPr>
      <w:rPr>
        <w:rFonts w:hint="default"/>
      </w:rPr>
    </w:lvl>
    <w:lvl w:ilvl="1">
      <w:start w:val="1"/>
      <w:numFmt w:val="decimal"/>
      <w:lvlText w:val="%1.%2"/>
      <w:lvlJc w:val="left"/>
      <w:pPr>
        <w:ind w:left="409" w:hanging="37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 w15:restartNumberingAfterBreak="0">
    <w:nsid w:val="07685730"/>
    <w:multiLevelType w:val="multilevel"/>
    <w:tmpl w:val="13FE56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580777"/>
    <w:multiLevelType w:val="hybridMultilevel"/>
    <w:tmpl w:val="FBB63444"/>
    <w:lvl w:ilvl="0" w:tplc="B52E4BA8">
      <w:start w:val="1"/>
      <w:numFmt w:val="bullet"/>
      <w:lvlText w:val="-"/>
      <w:lvlJc w:val="left"/>
      <w:pPr>
        <w:ind w:left="1155" w:hanging="360"/>
      </w:pPr>
      <w:rPr>
        <w:rFonts w:ascii="Segoe UI Symbol" w:hAnsi="Segoe UI Symbol" w:cs="Segoe UI Symbol" w:hint="default"/>
        <w:b w:val="0"/>
        <w:i w:val="0"/>
        <w:strike w:val="0"/>
        <w:dstrike w:val="0"/>
        <w:color w:val="0062AC"/>
        <w:sz w:val="24"/>
        <w:szCs w:val="24"/>
        <w:u w:val="none" w:color="000000"/>
        <w:vertAlign w:val="baseline"/>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3" w15:restartNumberingAfterBreak="0">
    <w:nsid w:val="11C43E63"/>
    <w:multiLevelType w:val="hybridMultilevel"/>
    <w:tmpl w:val="EE583FC2"/>
    <w:lvl w:ilvl="0" w:tplc="B52E4BA8">
      <w:start w:val="1"/>
      <w:numFmt w:val="bullet"/>
      <w:lvlText w:val="-"/>
      <w:lvlJc w:val="left"/>
      <w:pPr>
        <w:ind w:left="720"/>
      </w:pPr>
      <w:rPr>
        <w:rFonts w:ascii="Segoe UI Symbol" w:hAnsi="Segoe UI Symbol" w:cs="Segoe UI Symbol" w:hint="default"/>
        <w:b w:val="0"/>
        <w:i w:val="0"/>
        <w:strike w:val="0"/>
        <w:dstrike w:val="0"/>
        <w:color w:val="0062AC"/>
        <w:sz w:val="24"/>
        <w:szCs w:val="24"/>
        <w:u w:val="none" w:color="000000"/>
        <w:bdr w:val="none" w:sz="0" w:space="0" w:color="auto"/>
        <w:shd w:val="clear" w:color="auto" w:fill="auto"/>
        <w:vertAlign w:val="baseline"/>
      </w:rPr>
    </w:lvl>
    <w:lvl w:ilvl="1" w:tplc="D5500E40">
      <w:start w:val="1"/>
      <w:numFmt w:val="bullet"/>
      <w:lvlText w:val="o"/>
      <w:lvlJc w:val="left"/>
      <w:pPr>
        <w:ind w:left="154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FE22FE6E">
      <w:start w:val="1"/>
      <w:numFmt w:val="bullet"/>
      <w:lvlText w:val="▪"/>
      <w:lvlJc w:val="left"/>
      <w:pPr>
        <w:ind w:left="226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7604F2D8">
      <w:start w:val="1"/>
      <w:numFmt w:val="bullet"/>
      <w:lvlText w:val="•"/>
      <w:lvlJc w:val="left"/>
      <w:pPr>
        <w:ind w:left="2987"/>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E2E64E2A">
      <w:start w:val="1"/>
      <w:numFmt w:val="bullet"/>
      <w:lvlText w:val="o"/>
      <w:lvlJc w:val="left"/>
      <w:pPr>
        <w:ind w:left="370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35BAA59A">
      <w:start w:val="1"/>
      <w:numFmt w:val="bullet"/>
      <w:lvlText w:val="▪"/>
      <w:lvlJc w:val="left"/>
      <w:pPr>
        <w:ind w:left="442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8AD0E0B2">
      <w:start w:val="1"/>
      <w:numFmt w:val="bullet"/>
      <w:lvlText w:val="•"/>
      <w:lvlJc w:val="left"/>
      <w:pPr>
        <w:ind w:left="5147"/>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AAEEEEB0">
      <w:start w:val="1"/>
      <w:numFmt w:val="bullet"/>
      <w:lvlText w:val="o"/>
      <w:lvlJc w:val="left"/>
      <w:pPr>
        <w:ind w:left="586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687CDADC">
      <w:start w:val="1"/>
      <w:numFmt w:val="bullet"/>
      <w:lvlText w:val="▪"/>
      <w:lvlJc w:val="left"/>
      <w:pPr>
        <w:ind w:left="658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4" w15:restartNumberingAfterBreak="0">
    <w:nsid w:val="21491CDD"/>
    <w:multiLevelType w:val="hybridMultilevel"/>
    <w:tmpl w:val="A752700C"/>
    <w:lvl w:ilvl="0" w:tplc="B52E4BA8">
      <w:start w:val="1"/>
      <w:numFmt w:val="bullet"/>
      <w:lvlText w:val="-"/>
      <w:lvlJc w:val="left"/>
      <w:pPr>
        <w:ind w:left="720"/>
      </w:pPr>
      <w:rPr>
        <w:rFonts w:ascii="Segoe UI Symbol" w:hAnsi="Segoe UI Symbol" w:cs="Segoe UI Symbol" w:hint="default"/>
        <w:b w:val="0"/>
        <w:i w:val="0"/>
        <w:strike w:val="0"/>
        <w:dstrike w:val="0"/>
        <w:color w:val="0062AC"/>
        <w:sz w:val="24"/>
        <w:szCs w:val="24"/>
        <w:u w:val="none" w:color="000000"/>
        <w:bdr w:val="none" w:sz="0" w:space="0" w:color="auto"/>
        <w:shd w:val="clear" w:color="auto" w:fill="auto"/>
        <w:vertAlign w:val="baseline"/>
      </w:rPr>
    </w:lvl>
    <w:lvl w:ilvl="1" w:tplc="5F244D7A">
      <w:start w:val="1"/>
      <w:numFmt w:val="bullet"/>
      <w:lvlText w:val="o"/>
      <w:lvlJc w:val="left"/>
      <w:pPr>
        <w:ind w:left="154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B82887D4">
      <w:start w:val="1"/>
      <w:numFmt w:val="bullet"/>
      <w:lvlText w:val="▪"/>
      <w:lvlJc w:val="left"/>
      <w:pPr>
        <w:ind w:left="226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52644D20">
      <w:start w:val="1"/>
      <w:numFmt w:val="bullet"/>
      <w:lvlText w:val="•"/>
      <w:lvlJc w:val="left"/>
      <w:pPr>
        <w:ind w:left="2987"/>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19D2D53E">
      <w:start w:val="1"/>
      <w:numFmt w:val="bullet"/>
      <w:lvlText w:val="o"/>
      <w:lvlJc w:val="left"/>
      <w:pPr>
        <w:ind w:left="370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2E54C4D2">
      <w:start w:val="1"/>
      <w:numFmt w:val="bullet"/>
      <w:lvlText w:val="▪"/>
      <w:lvlJc w:val="left"/>
      <w:pPr>
        <w:ind w:left="442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463CE782">
      <w:start w:val="1"/>
      <w:numFmt w:val="bullet"/>
      <w:lvlText w:val="•"/>
      <w:lvlJc w:val="left"/>
      <w:pPr>
        <w:ind w:left="5147"/>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154A1FBC">
      <w:start w:val="1"/>
      <w:numFmt w:val="bullet"/>
      <w:lvlText w:val="o"/>
      <w:lvlJc w:val="left"/>
      <w:pPr>
        <w:ind w:left="586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C4BCD172">
      <w:start w:val="1"/>
      <w:numFmt w:val="bullet"/>
      <w:lvlText w:val="▪"/>
      <w:lvlJc w:val="left"/>
      <w:pPr>
        <w:ind w:left="658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5" w15:restartNumberingAfterBreak="0">
    <w:nsid w:val="29D20E56"/>
    <w:multiLevelType w:val="multilevel"/>
    <w:tmpl w:val="1A101D26"/>
    <w:lvl w:ilvl="0">
      <w:start w:val="1"/>
      <w:numFmt w:val="decimal"/>
      <w:lvlText w:val="%1"/>
      <w:lvlJc w:val="left"/>
      <w:pPr>
        <w:ind w:left="375" w:hanging="375"/>
      </w:pPr>
      <w:rPr>
        <w:rFonts w:hint="default"/>
      </w:rPr>
    </w:lvl>
    <w:lvl w:ilvl="1">
      <w:start w:val="1"/>
      <w:numFmt w:val="decimal"/>
      <w:lvlText w:val="%1.%2"/>
      <w:lvlJc w:val="left"/>
      <w:pPr>
        <w:ind w:left="409" w:hanging="37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15:restartNumberingAfterBreak="0">
    <w:nsid w:val="33370252"/>
    <w:multiLevelType w:val="hybridMultilevel"/>
    <w:tmpl w:val="4104A628"/>
    <w:lvl w:ilvl="0" w:tplc="CAE6613E">
      <w:start w:val="1"/>
      <w:numFmt w:val="decimal"/>
      <w:lvlText w:val="%1."/>
      <w:lvlJc w:val="left"/>
      <w:pPr>
        <w:ind w:left="720" w:hanging="360"/>
      </w:pPr>
    </w:lvl>
    <w:lvl w:ilvl="1" w:tplc="22F43E9C">
      <w:start w:val="1"/>
      <w:numFmt w:val="lowerLetter"/>
      <w:lvlText w:val="%2."/>
      <w:lvlJc w:val="left"/>
      <w:pPr>
        <w:ind w:left="1440" w:hanging="360"/>
      </w:pPr>
    </w:lvl>
    <w:lvl w:ilvl="2" w:tplc="459008B0">
      <w:start w:val="1"/>
      <w:numFmt w:val="lowerRoman"/>
      <w:lvlText w:val="%3."/>
      <w:lvlJc w:val="right"/>
      <w:pPr>
        <w:ind w:left="2160" w:hanging="180"/>
      </w:pPr>
    </w:lvl>
    <w:lvl w:ilvl="3" w:tplc="B1A6D168">
      <w:start w:val="1"/>
      <w:numFmt w:val="decimal"/>
      <w:lvlText w:val="%4."/>
      <w:lvlJc w:val="left"/>
      <w:pPr>
        <w:ind w:left="2880" w:hanging="360"/>
      </w:pPr>
    </w:lvl>
    <w:lvl w:ilvl="4" w:tplc="29227C3A">
      <w:start w:val="1"/>
      <w:numFmt w:val="lowerLetter"/>
      <w:lvlText w:val="%5."/>
      <w:lvlJc w:val="left"/>
      <w:pPr>
        <w:ind w:left="3600" w:hanging="360"/>
      </w:pPr>
    </w:lvl>
    <w:lvl w:ilvl="5" w:tplc="364C8AAC">
      <w:start w:val="1"/>
      <w:numFmt w:val="lowerRoman"/>
      <w:lvlText w:val="%6."/>
      <w:lvlJc w:val="right"/>
      <w:pPr>
        <w:ind w:left="4320" w:hanging="180"/>
      </w:pPr>
    </w:lvl>
    <w:lvl w:ilvl="6" w:tplc="57BACC24">
      <w:start w:val="1"/>
      <w:numFmt w:val="decimal"/>
      <w:lvlText w:val="%7."/>
      <w:lvlJc w:val="left"/>
      <w:pPr>
        <w:ind w:left="5040" w:hanging="360"/>
      </w:pPr>
    </w:lvl>
    <w:lvl w:ilvl="7" w:tplc="2F4001E6">
      <w:start w:val="1"/>
      <w:numFmt w:val="lowerLetter"/>
      <w:lvlText w:val="%8."/>
      <w:lvlJc w:val="left"/>
      <w:pPr>
        <w:ind w:left="5760" w:hanging="360"/>
      </w:pPr>
    </w:lvl>
    <w:lvl w:ilvl="8" w:tplc="209C6282">
      <w:start w:val="1"/>
      <w:numFmt w:val="lowerRoman"/>
      <w:lvlText w:val="%9."/>
      <w:lvlJc w:val="right"/>
      <w:pPr>
        <w:ind w:left="6480" w:hanging="180"/>
      </w:pPr>
    </w:lvl>
  </w:abstractNum>
  <w:abstractNum w:abstractNumId="7" w15:restartNumberingAfterBreak="0">
    <w:nsid w:val="406763F0"/>
    <w:multiLevelType w:val="hybridMultilevel"/>
    <w:tmpl w:val="3BBC1AC2"/>
    <w:lvl w:ilvl="0" w:tplc="B52E4BA8">
      <w:start w:val="1"/>
      <w:numFmt w:val="bullet"/>
      <w:lvlText w:val="-"/>
      <w:lvlJc w:val="left"/>
      <w:pPr>
        <w:ind w:left="720"/>
      </w:pPr>
      <w:rPr>
        <w:rFonts w:ascii="Segoe UI Symbol" w:hAnsi="Segoe UI Symbol" w:cs="Segoe UI Symbol" w:hint="default"/>
        <w:b w:val="0"/>
        <w:i w:val="0"/>
        <w:strike w:val="0"/>
        <w:dstrike w:val="0"/>
        <w:color w:val="0062AC"/>
        <w:sz w:val="24"/>
        <w:szCs w:val="24"/>
        <w:u w:val="none" w:color="000000"/>
        <w:bdr w:val="none" w:sz="0" w:space="0" w:color="auto"/>
        <w:shd w:val="clear" w:color="auto" w:fill="auto"/>
        <w:vertAlign w:val="baseline"/>
      </w:rPr>
    </w:lvl>
    <w:lvl w:ilvl="1" w:tplc="A31AC90C">
      <w:start w:val="1"/>
      <w:numFmt w:val="bullet"/>
      <w:lvlText w:val="o"/>
      <w:lvlJc w:val="left"/>
      <w:pPr>
        <w:ind w:left="154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5CB64BCE">
      <w:start w:val="1"/>
      <w:numFmt w:val="bullet"/>
      <w:lvlText w:val="▪"/>
      <w:lvlJc w:val="left"/>
      <w:pPr>
        <w:ind w:left="226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7570C0C2">
      <w:start w:val="1"/>
      <w:numFmt w:val="bullet"/>
      <w:lvlText w:val="•"/>
      <w:lvlJc w:val="left"/>
      <w:pPr>
        <w:ind w:left="2987"/>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521A122E">
      <w:start w:val="1"/>
      <w:numFmt w:val="bullet"/>
      <w:lvlText w:val="o"/>
      <w:lvlJc w:val="left"/>
      <w:pPr>
        <w:ind w:left="370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E93AE930">
      <w:start w:val="1"/>
      <w:numFmt w:val="bullet"/>
      <w:lvlText w:val="▪"/>
      <w:lvlJc w:val="left"/>
      <w:pPr>
        <w:ind w:left="442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7470754E">
      <w:start w:val="1"/>
      <w:numFmt w:val="bullet"/>
      <w:lvlText w:val="•"/>
      <w:lvlJc w:val="left"/>
      <w:pPr>
        <w:ind w:left="5147"/>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A09AAC5A">
      <w:start w:val="1"/>
      <w:numFmt w:val="bullet"/>
      <w:lvlText w:val="o"/>
      <w:lvlJc w:val="left"/>
      <w:pPr>
        <w:ind w:left="586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86226600">
      <w:start w:val="1"/>
      <w:numFmt w:val="bullet"/>
      <w:lvlText w:val="▪"/>
      <w:lvlJc w:val="left"/>
      <w:pPr>
        <w:ind w:left="658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8" w15:restartNumberingAfterBreak="0">
    <w:nsid w:val="427C3E53"/>
    <w:multiLevelType w:val="hybridMultilevel"/>
    <w:tmpl w:val="AFF61AEC"/>
    <w:lvl w:ilvl="0" w:tplc="B52E4BA8">
      <w:start w:val="1"/>
      <w:numFmt w:val="bullet"/>
      <w:lvlText w:val="-"/>
      <w:lvlJc w:val="left"/>
      <w:pPr>
        <w:ind w:left="828"/>
      </w:pPr>
      <w:rPr>
        <w:rFonts w:ascii="Segoe UI Symbol" w:hAnsi="Segoe UI Symbol" w:cs="Segoe UI Symbol" w:hint="default"/>
        <w:b w:val="0"/>
        <w:i w:val="0"/>
        <w:strike w:val="0"/>
        <w:dstrike w:val="0"/>
        <w:color w:val="0062AC"/>
        <w:sz w:val="24"/>
        <w:szCs w:val="24"/>
        <w:u w:val="none" w:color="000000"/>
        <w:bdr w:val="none" w:sz="0" w:space="0" w:color="auto"/>
        <w:shd w:val="clear" w:color="auto" w:fill="auto"/>
        <w:vertAlign w:val="baseline"/>
      </w:rPr>
    </w:lvl>
    <w:lvl w:ilvl="1" w:tplc="465C973C">
      <w:start w:val="1"/>
      <w:numFmt w:val="bullet"/>
      <w:lvlText w:val="o"/>
      <w:lvlJc w:val="left"/>
      <w:pPr>
        <w:ind w:left="1655"/>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436859F0">
      <w:start w:val="1"/>
      <w:numFmt w:val="bullet"/>
      <w:lvlText w:val="▪"/>
      <w:lvlJc w:val="left"/>
      <w:pPr>
        <w:ind w:left="2375"/>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A590FD06">
      <w:start w:val="1"/>
      <w:numFmt w:val="bullet"/>
      <w:lvlText w:val="•"/>
      <w:lvlJc w:val="left"/>
      <w:pPr>
        <w:ind w:left="3095"/>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79BCA100">
      <w:start w:val="1"/>
      <w:numFmt w:val="bullet"/>
      <w:lvlText w:val="o"/>
      <w:lvlJc w:val="left"/>
      <w:pPr>
        <w:ind w:left="3815"/>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14A08C8E">
      <w:start w:val="1"/>
      <w:numFmt w:val="bullet"/>
      <w:lvlText w:val="▪"/>
      <w:lvlJc w:val="left"/>
      <w:pPr>
        <w:ind w:left="4535"/>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87067B2C">
      <w:start w:val="1"/>
      <w:numFmt w:val="bullet"/>
      <w:lvlText w:val="•"/>
      <w:lvlJc w:val="left"/>
      <w:pPr>
        <w:ind w:left="5255"/>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AEF09D1A">
      <w:start w:val="1"/>
      <w:numFmt w:val="bullet"/>
      <w:lvlText w:val="o"/>
      <w:lvlJc w:val="left"/>
      <w:pPr>
        <w:ind w:left="5975"/>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8CF86DF0">
      <w:start w:val="1"/>
      <w:numFmt w:val="bullet"/>
      <w:lvlText w:val="▪"/>
      <w:lvlJc w:val="left"/>
      <w:pPr>
        <w:ind w:left="6695"/>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9" w15:restartNumberingAfterBreak="0">
    <w:nsid w:val="4CC43AB0"/>
    <w:multiLevelType w:val="hybridMultilevel"/>
    <w:tmpl w:val="91C24EC8"/>
    <w:lvl w:ilvl="0" w:tplc="B52E4BA8">
      <w:start w:val="1"/>
      <w:numFmt w:val="bullet"/>
      <w:lvlText w:val="-"/>
      <w:lvlJc w:val="left"/>
      <w:pPr>
        <w:ind w:left="828"/>
      </w:pPr>
      <w:rPr>
        <w:rFonts w:ascii="Segoe UI Symbol" w:hAnsi="Segoe UI Symbol" w:cs="Segoe UI Symbol" w:hint="default"/>
        <w:b w:val="0"/>
        <w:i w:val="0"/>
        <w:strike w:val="0"/>
        <w:dstrike w:val="0"/>
        <w:color w:val="0062AC"/>
        <w:sz w:val="24"/>
        <w:szCs w:val="24"/>
        <w:u w:val="none" w:color="000000"/>
        <w:bdr w:val="none" w:sz="0" w:space="0" w:color="auto"/>
        <w:shd w:val="clear" w:color="auto" w:fill="auto"/>
        <w:vertAlign w:val="baseline"/>
      </w:rPr>
    </w:lvl>
    <w:lvl w:ilvl="1" w:tplc="BCB607EA">
      <w:start w:val="1"/>
      <w:numFmt w:val="bullet"/>
      <w:lvlText w:val="o"/>
      <w:lvlJc w:val="left"/>
      <w:pPr>
        <w:ind w:left="1656"/>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D79AD18A">
      <w:start w:val="1"/>
      <w:numFmt w:val="bullet"/>
      <w:lvlText w:val="▪"/>
      <w:lvlJc w:val="left"/>
      <w:pPr>
        <w:ind w:left="2376"/>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3E5CD31A">
      <w:start w:val="1"/>
      <w:numFmt w:val="bullet"/>
      <w:lvlText w:val="•"/>
      <w:lvlJc w:val="left"/>
      <w:pPr>
        <w:ind w:left="3096"/>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2F1A7488">
      <w:start w:val="1"/>
      <w:numFmt w:val="bullet"/>
      <w:lvlText w:val="o"/>
      <w:lvlJc w:val="left"/>
      <w:pPr>
        <w:ind w:left="3816"/>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21D082C0">
      <w:start w:val="1"/>
      <w:numFmt w:val="bullet"/>
      <w:lvlText w:val="▪"/>
      <w:lvlJc w:val="left"/>
      <w:pPr>
        <w:ind w:left="4536"/>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6722E054">
      <w:start w:val="1"/>
      <w:numFmt w:val="bullet"/>
      <w:lvlText w:val="•"/>
      <w:lvlJc w:val="left"/>
      <w:pPr>
        <w:ind w:left="5256"/>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ABF2FE56">
      <w:start w:val="1"/>
      <w:numFmt w:val="bullet"/>
      <w:lvlText w:val="o"/>
      <w:lvlJc w:val="left"/>
      <w:pPr>
        <w:ind w:left="5976"/>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C400E9D8">
      <w:start w:val="1"/>
      <w:numFmt w:val="bullet"/>
      <w:lvlText w:val="▪"/>
      <w:lvlJc w:val="left"/>
      <w:pPr>
        <w:ind w:left="6696"/>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10" w15:restartNumberingAfterBreak="0">
    <w:nsid w:val="4DCE1526"/>
    <w:multiLevelType w:val="multilevel"/>
    <w:tmpl w:val="1A101D26"/>
    <w:lvl w:ilvl="0">
      <w:start w:val="1"/>
      <w:numFmt w:val="decimal"/>
      <w:lvlText w:val="%1"/>
      <w:lvlJc w:val="left"/>
      <w:pPr>
        <w:ind w:left="375" w:hanging="375"/>
      </w:pPr>
      <w:rPr>
        <w:rFonts w:hint="default"/>
      </w:rPr>
    </w:lvl>
    <w:lvl w:ilvl="1">
      <w:start w:val="1"/>
      <w:numFmt w:val="decimal"/>
      <w:lvlText w:val="%1.%2"/>
      <w:lvlJc w:val="left"/>
      <w:pPr>
        <w:ind w:left="409" w:hanging="37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1" w15:restartNumberingAfterBreak="0">
    <w:nsid w:val="50883F46"/>
    <w:multiLevelType w:val="hybridMultilevel"/>
    <w:tmpl w:val="E1680F6A"/>
    <w:lvl w:ilvl="0" w:tplc="B52E4BA8">
      <w:start w:val="1"/>
      <w:numFmt w:val="bullet"/>
      <w:lvlText w:val="-"/>
      <w:lvlJc w:val="left"/>
      <w:pPr>
        <w:ind w:left="720"/>
      </w:pPr>
      <w:rPr>
        <w:rFonts w:ascii="Segoe UI Symbol" w:hAnsi="Segoe UI Symbol" w:cs="Segoe UI Symbol" w:hint="default"/>
        <w:b w:val="0"/>
        <w:i w:val="0"/>
        <w:strike w:val="0"/>
        <w:dstrike w:val="0"/>
        <w:color w:val="0062AC"/>
        <w:sz w:val="24"/>
        <w:szCs w:val="24"/>
        <w:u w:val="none" w:color="000000"/>
        <w:bdr w:val="none" w:sz="0" w:space="0" w:color="auto"/>
        <w:shd w:val="clear" w:color="auto" w:fill="auto"/>
        <w:vertAlign w:val="baseline"/>
      </w:rPr>
    </w:lvl>
    <w:lvl w:ilvl="1" w:tplc="12B2AF64">
      <w:start w:val="1"/>
      <w:numFmt w:val="bullet"/>
      <w:lvlText w:val="o"/>
      <w:lvlJc w:val="left"/>
      <w:pPr>
        <w:ind w:left="154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2F38CF94">
      <w:start w:val="1"/>
      <w:numFmt w:val="bullet"/>
      <w:lvlText w:val="▪"/>
      <w:lvlJc w:val="left"/>
      <w:pPr>
        <w:ind w:left="226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F816245A">
      <w:start w:val="1"/>
      <w:numFmt w:val="bullet"/>
      <w:lvlText w:val="•"/>
      <w:lvlJc w:val="left"/>
      <w:pPr>
        <w:ind w:left="2987"/>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1A9078FE">
      <w:start w:val="1"/>
      <w:numFmt w:val="bullet"/>
      <w:lvlText w:val="o"/>
      <w:lvlJc w:val="left"/>
      <w:pPr>
        <w:ind w:left="370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0E948FCA">
      <w:start w:val="1"/>
      <w:numFmt w:val="bullet"/>
      <w:lvlText w:val="▪"/>
      <w:lvlJc w:val="left"/>
      <w:pPr>
        <w:ind w:left="442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B98CE506">
      <w:start w:val="1"/>
      <w:numFmt w:val="bullet"/>
      <w:lvlText w:val="•"/>
      <w:lvlJc w:val="left"/>
      <w:pPr>
        <w:ind w:left="5147"/>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B8065414">
      <w:start w:val="1"/>
      <w:numFmt w:val="bullet"/>
      <w:lvlText w:val="o"/>
      <w:lvlJc w:val="left"/>
      <w:pPr>
        <w:ind w:left="586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0108CD60">
      <w:start w:val="1"/>
      <w:numFmt w:val="bullet"/>
      <w:lvlText w:val="▪"/>
      <w:lvlJc w:val="left"/>
      <w:pPr>
        <w:ind w:left="6587"/>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12" w15:restartNumberingAfterBreak="0">
    <w:nsid w:val="595967B8"/>
    <w:multiLevelType w:val="hybridMultilevel"/>
    <w:tmpl w:val="D89A0540"/>
    <w:lvl w:ilvl="0" w:tplc="B52E4BA8">
      <w:start w:val="1"/>
      <w:numFmt w:val="bullet"/>
      <w:lvlText w:val="-"/>
      <w:lvlJc w:val="left"/>
      <w:pPr>
        <w:ind w:left="468"/>
      </w:pPr>
      <w:rPr>
        <w:rFonts w:ascii="Segoe UI Symbol" w:hAnsi="Segoe UI Symbol" w:cs="Segoe UI Symbol" w:hint="default"/>
        <w:b w:val="0"/>
        <w:i w:val="0"/>
        <w:strike w:val="0"/>
        <w:dstrike w:val="0"/>
        <w:color w:val="0062AC"/>
        <w:sz w:val="24"/>
        <w:szCs w:val="24"/>
        <w:u w:val="none" w:color="000000"/>
        <w:bdr w:val="none" w:sz="0" w:space="0" w:color="auto"/>
        <w:shd w:val="clear" w:color="auto" w:fill="auto"/>
        <w:vertAlign w:val="baseline"/>
      </w:rPr>
    </w:lvl>
    <w:lvl w:ilvl="1" w:tplc="07209000">
      <w:start w:val="1"/>
      <w:numFmt w:val="bullet"/>
      <w:lvlText w:val="o"/>
      <w:lvlJc w:val="left"/>
      <w:pPr>
        <w:ind w:left="1655"/>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B74C7984">
      <w:start w:val="1"/>
      <w:numFmt w:val="bullet"/>
      <w:lvlText w:val="▪"/>
      <w:lvlJc w:val="left"/>
      <w:pPr>
        <w:ind w:left="2375"/>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5CBE3F02">
      <w:start w:val="1"/>
      <w:numFmt w:val="bullet"/>
      <w:lvlText w:val="•"/>
      <w:lvlJc w:val="left"/>
      <w:pPr>
        <w:ind w:left="3095"/>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AC189A44">
      <w:start w:val="1"/>
      <w:numFmt w:val="bullet"/>
      <w:lvlText w:val="o"/>
      <w:lvlJc w:val="left"/>
      <w:pPr>
        <w:ind w:left="3815"/>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C046B7B8">
      <w:start w:val="1"/>
      <w:numFmt w:val="bullet"/>
      <w:lvlText w:val="▪"/>
      <w:lvlJc w:val="left"/>
      <w:pPr>
        <w:ind w:left="4535"/>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86D6257C">
      <w:start w:val="1"/>
      <w:numFmt w:val="bullet"/>
      <w:lvlText w:val="•"/>
      <w:lvlJc w:val="left"/>
      <w:pPr>
        <w:ind w:left="5255"/>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4B0C8722">
      <w:start w:val="1"/>
      <w:numFmt w:val="bullet"/>
      <w:lvlText w:val="o"/>
      <w:lvlJc w:val="left"/>
      <w:pPr>
        <w:ind w:left="5975"/>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A2227920">
      <w:start w:val="1"/>
      <w:numFmt w:val="bullet"/>
      <w:lvlText w:val="▪"/>
      <w:lvlJc w:val="left"/>
      <w:pPr>
        <w:ind w:left="6695"/>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13" w15:restartNumberingAfterBreak="0">
    <w:nsid w:val="669406A4"/>
    <w:multiLevelType w:val="hybridMultilevel"/>
    <w:tmpl w:val="9132AB70"/>
    <w:lvl w:ilvl="0" w:tplc="B52E4BA8">
      <w:start w:val="1"/>
      <w:numFmt w:val="bullet"/>
      <w:lvlText w:val="-"/>
      <w:lvlJc w:val="left"/>
      <w:pPr>
        <w:ind w:left="723"/>
      </w:pPr>
      <w:rPr>
        <w:rFonts w:ascii="Segoe UI Symbol" w:hAnsi="Segoe UI Symbol" w:cs="Segoe UI Symbol" w:hint="default"/>
        <w:b w:val="0"/>
        <w:i w:val="0"/>
        <w:strike w:val="0"/>
        <w:dstrike w:val="0"/>
        <w:color w:val="0062AC"/>
        <w:sz w:val="24"/>
        <w:szCs w:val="24"/>
        <w:u w:val="none" w:color="000000"/>
        <w:bdr w:val="none" w:sz="0" w:space="0" w:color="auto"/>
        <w:shd w:val="clear" w:color="auto" w:fill="auto"/>
        <w:vertAlign w:val="baseline"/>
      </w:rPr>
    </w:lvl>
    <w:lvl w:ilvl="1" w:tplc="414A22C0">
      <w:start w:val="1"/>
      <w:numFmt w:val="bullet"/>
      <w:lvlText w:val="o"/>
      <w:lvlJc w:val="left"/>
      <w:pPr>
        <w:ind w:left="154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2" w:tplc="89EE176E">
      <w:start w:val="1"/>
      <w:numFmt w:val="bullet"/>
      <w:lvlText w:val="▪"/>
      <w:lvlJc w:val="left"/>
      <w:pPr>
        <w:ind w:left="226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3" w:tplc="4BB4A3F4">
      <w:start w:val="1"/>
      <w:numFmt w:val="bullet"/>
      <w:lvlText w:val="•"/>
      <w:lvlJc w:val="left"/>
      <w:pPr>
        <w:ind w:left="298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4" w:tplc="67965E66">
      <w:start w:val="1"/>
      <w:numFmt w:val="bullet"/>
      <w:lvlText w:val="o"/>
      <w:lvlJc w:val="left"/>
      <w:pPr>
        <w:ind w:left="370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5" w:tplc="F7A8760C">
      <w:start w:val="1"/>
      <w:numFmt w:val="bullet"/>
      <w:lvlText w:val="▪"/>
      <w:lvlJc w:val="left"/>
      <w:pPr>
        <w:ind w:left="442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6" w:tplc="1060B864">
      <w:start w:val="1"/>
      <w:numFmt w:val="bullet"/>
      <w:lvlText w:val="•"/>
      <w:lvlJc w:val="left"/>
      <w:pPr>
        <w:ind w:left="5148"/>
      </w:pPr>
      <w:rPr>
        <w:rFonts w:ascii="Arial" w:eastAsia="Arial" w:hAnsi="Arial" w:cs="Arial"/>
        <w:b w:val="0"/>
        <w:i w:val="0"/>
        <w:strike w:val="0"/>
        <w:dstrike w:val="0"/>
        <w:color w:val="0062AC"/>
        <w:sz w:val="24"/>
        <w:szCs w:val="24"/>
        <w:u w:val="none" w:color="000000"/>
        <w:bdr w:val="none" w:sz="0" w:space="0" w:color="auto"/>
        <w:shd w:val="clear" w:color="auto" w:fill="auto"/>
        <w:vertAlign w:val="baseline"/>
      </w:rPr>
    </w:lvl>
    <w:lvl w:ilvl="7" w:tplc="6DEEDA00">
      <w:start w:val="1"/>
      <w:numFmt w:val="bullet"/>
      <w:lvlText w:val="o"/>
      <w:lvlJc w:val="left"/>
      <w:pPr>
        <w:ind w:left="586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lvl w:ilvl="8" w:tplc="AE740568">
      <w:start w:val="1"/>
      <w:numFmt w:val="bullet"/>
      <w:lvlText w:val="▪"/>
      <w:lvlJc w:val="left"/>
      <w:pPr>
        <w:ind w:left="6588"/>
      </w:pPr>
      <w:rPr>
        <w:rFonts w:ascii="Segoe UI Symbol" w:eastAsia="Segoe UI Symbol" w:hAnsi="Segoe UI Symbol" w:cs="Segoe UI Symbol"/>
        <w:b w:val="0"/>
        <w:i w:val="0"/>
        <w:strike w:val="0"/>
        <w:dstrike w:val="0"/>
        <w:color w:val="0062AC"/>
        <w:sz w:val="24"/>
        <w:szCs w:val="24"/>
        <w:u w:val="none" w:color="000000"/>
        <w:bdr w:val="none" w:sz="0" w:space="0" w:color="auto"/>
        <w:shd w:val="clear" w:color="auto" w:fill="auto"/>
        <w:vertAlign w:val="baseline"/>
      </w:rPr>
    </w:lvl>
  </w:abstractNum>
  <w:abstractNum w:abstractNumId="14" w15:restartNumberingAfterBreak="0">
    <w:nsid w:val="6B1E373C"/>
    <w:multiLevelType w:val="multilevel"/>
    <w:tmpl w:val="1A101D2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15:restartNumberingAfterBreak="0">
    <w:nsid w:val="749664FE"/>
    <w:multiLevelType w:val="hybridMultilevel"/>
    <w:tmpl w:val="822674AA"/>
    <w:lvl w:ilvl="0" w:tplc="376EFC0A">
      <w:start w:val="1"/>
      <w:numFmt w:val="decimal"/>
      <w:lvlText w:val="%1."/>
      <w:lvlJc w:val="left"/>
      <w:pPr>
        <w:ind w:left="720" w:hanging="360"/>
      </w:pPr>
    </w:lvl>
    <w:lvl w:ilvl="1" w:tplc="A39C29CA">
      <w:start w:val="1"/>
      <w:numFmt w:val="lowerLetter"/>
      <w:lvlText w:val="%2."/>
      <w:lvlJc w:val="left"/>
      <w:pPr>
        <w:ind w:left="1440" w:hanging="360"/>
      </w:pPr>
    </w:lvl>
    <w:lvl w:ilvl="2" w:tplc="757EDB6A">
      <w:start w:val="1"/>
      <w:numFmt w:val="lowerRoman"/>
      <w:lvlText w:val="%3."/>
      <w:lvlJc w:val="right"/>
      <w:pPr>
        <w:ind w:left="2160" w:hanging="180"/>
      </w:pPr>
    </w:lvl>
    <w:lvl w:ilvl="3" w:tplc="F75AF556">
      <w:start w:val="1"/>
      <w:numFmt w:val="decimal"/>
      <w:lvlText w:val="%4."/>
      <w:lvlJc w:val="left"/>
      <w:pPr>
        <w:ind w:left="2880" w:hanging="360"/>
      </w:pPr>
    </w:lvl>
    <w:lvl w:ilvl="4" w:tplc="76C0391A">
      <w:start w:val="1"/>
      <w:numFmt w:val="lowerLetter"/>
      <w:lvlText w:val="%5."/>
      <w:lvlJc w:val="left"/>
      <w:pPr>
        <w:ind w:left="3600" w:hanging="360"/>
      </w:pPr>
    </w:lvl>
    <w:lvl w:ilvl="5" w:tplc="156C3E3A">
      <w:start w:val="1"/>
      <w:numFmt w:val="lowerRoman"/>
      <w:lvlText w:val="%6."/>
      <w:lvlJc w:val="right"/>
      <w:pPr>
        <w:ind w:left="4320" w:hanging="180"/>
      </w:pPr>
    </w:lvl>
    <w:lvl w:ilvl="6" w:tplc="9BA48F5A">
      <w:start w:val="1"/>
      <w:numFmt w:val="decimal"/>
      <w:lvlText w:val="%7."/>
      <w:lvlJc w:val="left"/>
      <w:pPr>
        <w:ind w:left="5040" w:hanging="360"/>
      </w:pPr>
    </w:lvl>
    <w:lvl w:ilvl="7" w:tplc="FA08A280">
      <w:start w:val="1"/>
      <w:numFmt w:val="lowerLetter"/>
      <w:lvlText w:val="%8."/>
      <w:lvlJc w:val="left"/>
      <w:pPr>
        <w:ind w:left="5760" w:hanging="360"/>
      </w:pPr>
    </w:lvl>
    <w:lvl w:ilvl="8" w:tplc="76762A46">
      <w:start w:val="1"/>
      <w:numFmt w:val="lowerRoman"/>
      <w:lvlText w:val="%9."/>
      <w:lvlJc w:val="right"/>
      <w:pPr>
        <w:ind w:left="6480" w:hanging="180"/>
      </w:pPr>
    </w:lvl>
  </w:abstractNum>
  <w:num w:numId="1">
    <w:abstractNumId w:val="6"/>
  </w:num>
  <w:num w:numId="2">
    <w:abstractNumId w:val="14"/>
  </w:num>
  <w:num w:numId="3">
    <w:abstractNumId w:val="5"/>
  </w:num>
  <w:num w:numId="4">
    <w:abstractNumId w:val="10"/>
  </w:num>
  <w:num w:numId="5">
    <w:abstractNumId w:val="0"/>
  </w:num>
  <w:num w:numId="6">
    <w:abstractNumId w:val="1"/>
  </w:num>
  <w:num w:numId="7">
    <w:abstractNumId w:val="15"/>
  </w:num>
  <w:num w:numId="8">
    <w:abstractNumId w:val="8"/>
  </w:num>
  <w:num w:numId="9">
    <w:abstractNumId w:val="3"/>
  </w:num>
  <w:num w:numId="10">
    <w:abstractNumId w:val="2"/>
  </w:num>
  <w:num w:numId="11">
    <w:abstractNumId w:val="13"/>
  </w:num>
  <w:num w:numId="12">
    <w:abstractNumId w:val="12"/>
  </w:num>
  <w:num w:numId="13">
    <w:abstractNumId w:val="4"/>
  </w:num>
  <w:num w:numId="14">
    <w:abstractNumId w:val="7"/>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32"/>
    <w:rsid w:val="00000322"/>
    <w:rsid w:val="00000A2D"/>
    <w:rsid w:val="0000123F"/>
    <w:rsid w:val="00014B73"/>
    <w:rsid w:val="00020342"/>
    <w:rsid w:val="00021601"/>
    <w:rsid w:val="0002269E"/>
    <w:rsid w:val="00024228"/>
    <w:rsid w:val="00024674"/>
    <w:rsid w:val="00025696"/>
    <w:rsid w:val="00030CEC"/>
    <w:rsid w:val="00031DC8"/>
    <w:rsid w:val="000327CB"/>
    <w:rsid w:val="00033142"/>
    <w:rsid w:val="000401A9"/>
    <w:rsid w:val="00041CA4"/>
    <w:rsid w:val="000426DA"/>
    <w:rsid w:val="00043EC9"/>
    <w:rsid w:val="000442EA"/>
    <w:rsid w:val="00044FCC"/>
    <w:rsid w:val="00047EF1"/>
    <w:rsid w:val="00050434"/>
    <w:rsid w:val="000505F0"/>
    <w:rsid w:val="00060E44"/>
    <w:rsid w:val="00061121"/>
    <w:rsid w:val="00061366"/>
    <w:rsid w:val="00062A27"/>
    <w:rsid w:val="00062CD6"/>
    <w:rsid w:val="00066013"/>
    <w:rsid w:val="000773AF"/>
    <w:rsid w:val="00077C10"/>
    <w:rsid w:val="0008504C"/>
    <w:rsid w:val="00086633"/>
    <w:rsid w:val="00096D67"/>
    <w:rsid w:val="00097E43"/>
    <w:rsid w:val="000A019D"/>
    <w:rsid w:val="000A10F9"/>
    <w:rsid w:val="000B07E4"/>
    <w:rsid w:val="000B21B3"/>
    <w:rsid w:val="000B4B66"/>
    <w:rsid w:val="000B519D"/>
    <w:rsid w:val="000B7989"/>
    <w:rsid w:val="000C4BE4"/>
    <w:rsid w:val="000C528B"/>
    <w:rsid w:val="000C5D32"/>
    <w:rsid w:val="000C60FB"/>
    <w:rsid w:val="000D2F8B"/>
    <w:rsid w:val="000D4261"/>
    <w:rsid w:val="000E13D3"/>
    <w:rsid w:val="000E28F2"/>
    <w:rsid w:val="000E6BF0"/>
    <w:rsid w:val="000F1C43"/>
    <w:rsid w:val="000F3E10"/>
    <w:rsid w:val="000F4182"/>
    <w:rsid w:val="000F5CD9"/>
    <w:rsid w:val="001018E8"/>
    <w:rsid w:val="001104EF"/>
    <w:rsid w:val="00112BFF"/>
    <w:rsid w:val="00117C07"/>
    <w:rsid w:val="001248AA"/>
    <w:rsid w:val="001266D7"/>
    <w:rsid w:val="00130E55"/>
    <w:rsid w:val="00136803"/>
    <w:rsid w:val="00142A65"/>
    <w:rsid w:val="0014385A"/>
    <w:rsid w:val="00144103"/>
    <w:rsid w:val="001612C9"/>
    <w:rsid w:val="00163FA3"/>
    <w:rsid w:val="00166004"/>
    <w:rsid w:val="0017215B"/>
    <w:rsid w:val="00174F5B"/>
    <w:rsid w:val="00175BDC"/>
    <w:rsid w:val="00177734"/>
    <w:rsid w:val="00177DA6"/>
    <w:rsid w:val="00180B72"/>
    <w:rsid w:val="00184EB9"/>
    <w:rsid w:val="0018776D"/>
    <w:rsid w:val="0019018A"/>
    <w:rsid w:val="00190FD1"/>
    <w:rsid w:val="00194536"/>
    <w:rsid w:val="00195B68"/>
    <w:rsid w:val="001A54A7"/>
    <w:rsid w:val="001B1437"/>
    <w:rsid w:val="001C7074"/>
    <w:rsid w:val="001D22A2"/>
    <w:rsid w:val="001D3D64"/>
    <w:rsid w:val="001D4799"/>
    <w:rsid w:val="001E1779"/>
    <w:rsid w:val="001E2043"/>
    <w:rsid w:val="001E2116"/>
    <w:rsid w:val="001E3CCC"/>
    <w:rsid w:val="001E54E6"/>
    <w:rsid w:val="001E74F8"/>
    <w:rsid w:val="001F2032"/>
    <w:rsid w:val="001F2B1E"/>
    <w:rsid w:val="001F4342"/>
    <w:rsid w:val="001F6ED1"/>
    <w:rsid w:val="00210A9C"/>
    <w:rsid w:val="0021222B"/>
    <w:rsid w:val="00214B52"/>
    <w:rsid w:val="00216147"/>
    <w:rsid w:val="00222FCD"/>
    <w:rsid w:val="0022323F"/>
    <w:rsid w:val="00223FC8"/>
    <w:rsid w:val="002244C4"/>
    <w:rsid w:val="00224B4E"/>
    <w:rsid w:val="00225C69"/>
    <w:rsid w:val="00231A1D"/>
    <w:rsid w:val="00231A8A"/>
    <w:rsid w:val="002337DD"/>
    <w:rsid w:val="00237CE4"/>
    <w:rsid w:val="00240C75"/>
    <w:rsid w:val="00244FF6"/>
    <w:rsid w:val="00246CE1"/>
    <w:rsid w:val="00246E09"/>
    <w:rsid w:val="00247AF1"/>
    <w:rsid w:val="002514D3"/>
    <w:rsid w:val="002519D9"/>
    <w:rsid w:val="0025272F"/>
    <w:rsid w:val="00252F98"/>
    <w:rsid w:val="00254BF0"/>
    <w:rsid w:val="002646E8"/>
    <w:rsid w:val="00273035"/>
    <w:rsid w:val="00280301"/>
    <w:rsid w:val="00280C11"/>
    <w:rsid w:val="0028244C"/>
    <w:rsid w:val="00282747"/>
    <w:rsid w:val="00286B0D"/>
    <w:rsid w:val="002870E4"/>
    <w:rsid w:val="00290CDB"/>
    <w:rsid w:val="00291296"/>
    <w:rsid w:val="002949B5"/>
    <w:rsid w:val="002A07AA"/>
    <w:rsid w:val="002A2C96"/>
    <w:rsid w:val="002B14EB"/>
    <w:rsid w:val="002B2B0A"/>
    <w:rsid w:val="002B4101"/>
    <w:rsid w:val="002B5FD0"/>
    <w:rsid w:val="002B643A"/>
    <w:rsid w:val="002B6B3E"/>
    <w:rsid w:val="002C5B47"/>
    <w:rsid w:val="002D0E53"/>
    <w:rsid w:val="002D2D8C"/>
    <w:rsid w:val="002E7CC5"/>
    <w:rsid w:val="002F3764"/>
    <w:rsid w:val="002F3CE1"/>
    <w:rsid w:val="003002AA"/>
    <w:rsid w:val="00301E6B"/>
    <w:rsid w:val="003031F8"/>
    <w:rsid w:val="00304184"/>
    <w:rsid w:val="00313D15"/>
    <w:rsid w:val="00314289"/>
    <w:rsid w:val="00322B11"/>
    <w:rsid w:val="00322F42"/>
    <w:rsid w:val="00323312"/>
    <w:rsid w:val="00324705"/>
    <w:rsid w:val="00327CBD"/>
    <w:rsid w:val="00332A09"/>
    <w:rsid w:val="003350C5"/>
    <w:rsid w:val="00335D34"/>
    <w:rsid w:val="0034114E"/>
    <w:rsid w:val="003469CA"/>
    <w:rsid w:val="00360440"/>
    <w:rsid w:val="00365515"/>
    <w:rsid w:val="0036569E"/>
    <w:rsid w:val="00367C1D"/>
    <w:rsid w:val="00370A23"/>
    <w:rsid w:val="00377193"/>
    <w:rsid w:val="00380D0C"/>
    <w:rsid w:val="00383264"/>
    <w:rsid w:val="00383603"/>
    <w:rsid w:val="003874C1"/>
    <w:rsid w:val="0039612E"/>
    <w:rsid w:val="00397966"/>
    <w:rsid w:val="003A1350"/>
    <w:rsid w:val="003A350D"/>
    <w:rsid w:val="003A42F4"/>
    <w:rsid w:val="003A4786"/>
    <w:rsid w:val="003A5234"/>
    <w:rsid w:val="003A5D5D"/>
    <w:rsid w:val="003A7057"/>
    <w:rsid w:val="003B5AD3"/>
    <w:rsid w:val="003C0037"/>
    <w:rsid w:val="003C1EF9"/>
    <w:rsid w:val="003C3539"/>
    <w:rsid w:val="003C7800"/>
    <w:rsid w:val="003C7BFF"/>
    <w:rsid w:val="003D04B0"/>
    <w:rsid w:val="003D1594"/>
    <w:rsid w:val="003D1A18"/>
    <w:rsid w:val="003D2AA0"/>
    <w:rsid w:val="003D5958"/>
    <w:rsid w:val="003D64B8"/>
    <w:rsid w:val="003D797D"/>
    <w:rsid w:val="003E44E7"/>
    <w:rsid w:val="003E6132"/>
    <w:rsid w:val="003F3FA8"/>
    <w:rsid w:val="003F5FE4"/>
    <w:rsid w:val="003F65CB"/>
    <w:rsid w:val="00404653"/>
    <w:rsid w:val="004177BD"/>
    <w:rsid w:val="00427CDB"/>
    <w:rsid w:val="004445B4"/>
    <w:rsid w:val="00450C98"/>
    <w:rsid w:val="00452F24"/>
    <w:rsid w:val="00453F74"/>
    <w:rsid w:val="00454084"/>
    <w:rsid w:val="00455303"/>
    <w:rsid w:val="00456694"/>
    <w:rsid w:val="0046239C"/>
    <w:rsid w:val="00466EB0"/>
    <w:rsid w:val="00470FC2"/>
    <w:rsid w:val="004769D8"/>
    <w:rsid w:val="00477A5B"/>
    <w:rsid w:val="00477CC8"/>
    <w:rsid w:val="00482495"/>
    <w:rsid w:val="00486280"/>
    <w:rsid w:val="004938DC"/>
    <w:rsid w:val="00493A65"/>
    <w:rsid w:val="004A01CB"/>
    <w:rsid w:val="004A5E13"/>
    <w:rsid w:val="004B1BB7"/>
    <w:rsid w:val="004B53E7"/>
    <w:rsid w:val="004C101F"/>
    <w:rsid w:val="004C56B4"/>
    <w:rsid w:val="004D311A"/>
    <w:rsid w:val="004D4290"/>
    <w:rsid w:val="004E44AC"/>
    <w:rsid w:val="004E4DBE"/>
    <w:rsid w:val="004E700E"/>
    <w:rsid w:val="004E784B"/>
    <w:rsid w:val="004F2F22"/>
    <w:rsid w:val="004F58A8"/>
    <w:rsid w:val="004F6E65"/>
    <w:rsid w:val="00504A29"/>
    <w:rsid w:val="0050525D"/>
    <w:rsid w:val="0050636B"/>
    <w:rsid w:val="00507367"/>
    <w:rsid w:val="0050775A"/>
    <w:rsid w:val="00507AAB"/>
    <w:rsid w:val="00514CDD"/>
    <w:rsid w:val="0051609E"/>
    <w:rsid w:val="00517337"/>
    <w:rsid w:val="00523648"/>
    <w:rsid w:val="005241C1"/>
    <w:rsid w:val="00527690"/>
    <w:rsid w:val="00527761"/>
    <w:rsid w:val="00536A8F"/>
    <w:rsid w:val="00542909"/>
    <w:rsid w:val="00543BC5"/>
    <w:rsid w:val="0054407F"/>
    <w:rsid w:val="005448FE"/>
    <w:rsid w:val="00552C38"/>
    <w:rsid w:val="005603F4"/>
    <w:rsid w:val="00560522"/>
    <w:rsid w:val="005623ED"/>
    <w:rsid w:val="005714B1"/>
    <w:rsid w:val="005733E9"/>
    <w:rsid w:val="00577431"/>
    <w:rsid w:val="0058226F"/>
    <w:rsid w:val="00582472"/>
    <w:rsid w:val="00586B36"/>
    <w:rsid w:val="005924F2"/>
    <w:rsid w:val="005976A9"/>
    <w:rsid w:val="005A3217"/>
    <w:rsid w:val="005A5824"/>
    <w:rsid w:val="005A5AA1"/>
    <w:rsid w:val="005A7BEF"/>
    <w:rsid w:val="005B053C"/>
    <w:rsid w:val="005B1393"/>
    <w:rsid w:val="005B2F90"/>
    <w:rsid w:val="005B719E"/>
    <w:rsid w:val="005C2CB8"/>
    <w:rsid w:val="005C590B"/>
    <w:rsid w:val="005C669B"/>
    <w:rsid w:val="005D1D19"/>
    <w:rsid w:val="005D3E13"/>
    <w:rsid w:val="005D49A6"/>
    <w:rsid w:val="005E0B05"/>
    <w:rsid w:val="005E3CEC"/>
    <w:rsid w:val="005E3DCC"/>
    <w:rsid w:val="005F0DC4"/>
    <w:rsid w:val="005F1DA1"/>
    <w:rsid w:val="005F5974"/>
    <w:rsid w:val="00600C65"/>
    <w:rsid w:val="00601027"/>
    <w:rsid w:val="00606360"/>
    <w:rsid w:val="0061773F"/>
    <w:rsid w:val="006177FB"/>
    <w:rsid w:val="00621433"/>
    <w:rsid w:val="00631920"/>
    <w:rsid w:val="006347FB"/>
    <w:rsid w:val="00641A0B"/>
    <w:rsid w:val="006454BC"/>
    <w:rsid w:val="00647FB9"/>
    <w:rsid w:val="00653899"/>
    <w:rsid w:val="00655C85"/>
    <w:rsid w:val="00657FF5"/>
    <w:rsid w:val="00661907"/>
    <w:rsid w:val="00665303"/>
    <w:rsid w:val="00665473"/>
    <w:rsid w:val="0067290F"/>
    <w:rsid w:val="0067495B"/>
    <w:rsid w:val="00675A6E"/>
    <w:rsid w:val="006972E1"/>
    <w:rsid w:val="006A2D23"/>
    <w:rsid w:val="006A383F"/>
    <w:rsid w:val="006B3DFD"/>
    <w:rsid w:val="006B42AF"/>
    <w:rsid w:val="006B5C50"/>
    <w:rsid w:val="006C15E1"/>
    <w:rsid w:val="006D6D45"/>
    <w:rsid w:val="006E06BD"/>
    <w:rsid w:val="006E2655"/>
    <w:rsid w:val="006F6056"/>
    <w:rsid w:val="007029F6"/>
    <w:rsid w:val="00703EE3"/>
    <w:rsid w:val="00706DC6"/>
    <w:rsid w:val="00707468"/>
    <w:rsid w:val="0070761A"/>
    <w:rsid w:val="007109D8"/>
    <w:rsid w:val="0071240D"/>
    <w:rsid w:val="00712CEF"/>
    <w:rsid w:val="007143A2"/>
    <w:rsid w:val="00714E16"/>
    <w:rsid w:val="007240AA"/>
    <w:rsid w:val="007274BB"/>
    <w:rsid w:val="007300EB"/>
    <w:rsid w:val="007323BC"/>
    <w:rsid w:val="00732DFD"/>
    <w:rsid w:val="00735345"/>
    <w:rsid w:val="00737B66"/>
    <w:rsid w:val="0075045F"/>
    <w:rsid w:val="00750BD5"/>
    <w:rsid w:val="00752304"/>
    <w:rsid w:val="00761D94"/>
    <w:rsid w:val="0076705D"/>
    <w:rsid w:val="00774678"/>
    <w:rsid w:val="007972A2"/>
    <w:rsid w:val="007B0953"/>
    <w:rsid w:val="007B38D8"/>
    <w:rsid w:val="007B4E69"/>
    <w:rsid w:val="007B67DD"/>
    <w:rsid w:val="007C0433"/>
    <w:rsid w:val="007C2B0D"/>
    <w:rsid w:val="007C3388"/>
    <w:rsid w:val="007D0BB4"/>
    <w:rsid w:val="007E211C"/>
    <w:rsid w:val="007E3FB2"/>
    <w:rsid w:val="007E5A78"/>
    <w:rsid w:val="007E5E1C"/>
    <w:rsid w:val="007E7D73"/>
    <w:rsid w:val="007F4857"/>
    <w:rsid w:val="007F4D13"/>
    <w:rsid w:val="007F6E7B"/>
    <w:rsid w:val="007F783A"/>
    <w:rsid w:val="00802030"/>
    <w:rsid w:val="0080221B"/>
    <w:rsid w:val="00803F6A"/>
    <w:rsid w:val="00815572"/>
    <w:rsid w:val="00817E4A"/>
    <w:rsid w:val="0082247A"/>
    <w:rsid w:val="00825B4C"/>
    <w:rsid w:val="008309D9"/>
    <w:rsid w:val="00831884"/>
    <w:rsid w:val="0084581F"/>
    <w:rsid w:val="00850F0D"/>
    <w:rsid w:val="00857BA0"/>
    <w:rsid w:val="0086123A"/>
    <w:rsid w:val="00864615"/>
    <w:rsid w:val="00867B67"/>
    <w:rsid w:val="008710E0"/>
    <w:rsid w:val="00876604"/>
    <w:rsid w:val="00876BC4"/>
    <w:rsid w:val="00881FD6"/>
    <w:rsid w:val="0088492A"/>
    <w:rsid w:val="00890E0E"/>
    <w:rsid w:val="00892B4B"/>
    <w:rsid w:val="008A342D"/>
    <w:rsid w:val="008B353C"/>
    <w:rsid w:val="008B4C70"/>
    <w:rsid w:val="008B5BA8"/>
    <w:rsid w:val="008B5F63"/>
    <w:rsid w:val="008B7162"/>
    <w:rsid w:val="008C1EBA"/>
    <w:rsid w:val="008C33DE"/>
    <w:rsid w:val="008D398E"/>
    <w:rsid w:val="008D7D75"/>
    <w:rsid w:val="008E41C3"/>
    <w:rsid w:val="008E483B"/>
    <w:rsid w:val="008E737D"/>
    <w:rsid w:val="008F024C"/>
    <w:rsid w:val="008F287E"/>
    <w:rsid w:val="008F7C00"/>
    <w:rsid w:val="008F7DAE"/>
    <w:rsid w:val="00900F6C"/>
    <w:rsid w:val="00907CFD"/>
    <w:rsid w:val="00910149"/>
    <w:rsid w:val="00913427"/>
    <w:rsid w:val="009171FD"/>
    <w:rsid w:val="009179D3"/>
    <w:rsid w:val="00933E7D"/>
    <w:rsid w:val="00934ECA"/>
    <w:rsid w:val="0094218D"/>
    <w:rsid w:val="009426BA"/>
    <w:rsid w:val="009453ED"/>
    <w:rsid w:val="00946B59"/>
    <w:rsid w:val="00947644"/>
    <w:rsid w:val="0095182D"/>
    <w:rsid w:val="00960F8D"/>
    <w:rsid w:val="009623CD"/>
    <w:rsid w:val="00965F57"/>
    <w:rsid w:val="009728FA"/>
    <w:rsid w:val="0097420C"/>
    <w:rsid w:val="00976F1F"/>
    <w:rsid w:val="00980AC9"/>
    <w:rsid w:val="00981ECE"/>
    <w:rsid w:val="00982610"/>
    <w:rsid w:val="00982DE9"/>
    <w:rsid w:val="009851D6"/>
    <w:rsid w:val="00996431"/>
    <w:rsid w:val="009A01F7"/>
    <w:rsid w:val="009A0C3F"/>
    <w:rsid w:val="009A1B52"/>
    <w:rsid w:val="009A3370"/>
    <w:rsid w:val="009A48DC"/>
    <w:rsid w:val="009A59E2"/>
    <w:rsid w:val="009A5B3E"/>
    <w:rsid w:val="009B6F2C"/>
    <w:rsid w:val="009C49EE"/>
    <w:rsid w:val="009D2926"/>
    <w:rsid w:val="009D2FC0"/>
    <w:rsid w:val="009E01C9"/>
    <w:rsid w:val="009E498F"/>
    <w:rsid w:val="009E530A"/>
    <w:rsid w:val="009E745E"/>
    <w:rsid w:val="009F148E"/>
    <w:rsid w:val="009F3C32"/>
    <w:rsid w:val="009F3EDD"/>
    <w:rsid w:val="00A034CA"/>
    <w:rsid w:val="00A05818"/>
    <w:rsid w:val="00A10065"/>
    <w:rsid w:val="00A17A5B"/>
    <w:rsid w:val="00A235C2"/>
    <w:rsid w:val="00A27AFE"/>
    <w:rsid w:val="00A3469F"/>
    <w:rsid w:val="00A34B0E"/>
    <w:rsid w:val="00A3594B"/>
    <w:rsid w:val="00A36FDD"/>
    <w:rsid w:val="00A401B7"/>
    <w:rsid w:val="00A41A16"/>
    <w:rsid w:val="00A41FDF"/>
    <w:rsid w:val="00A42AFF"/>
    <w:rsid w:val="00A442DE"/>
    <w:rsid w:val="00A521C5"/>
    <w:rsid w:val="00A52966"/>
    <w:rsid w:val="00A52FAC"/>
    <w:rsid w:val="00A53165"/>
    <w:rsid w:val="00A5682E"/>
    <w:rsid w:val="00A604CB"/>
    <w:rsid w:val="00A6727E"/>
    <w:rsid w:val="00A67A33"/>
    <w:rsid w:val="00A71272"/>
    <w:rsid w:val="00A72385"/>
    <w:rsid w:val="00A77718"/>
    <w:rsid w:val="00A77D6F"/>
    <w:rsid w:val="00A808EC"/>
    <w:rsid w:val="00A809FB"/>
    <w:rsid w:val="00A826C7"/>
    <w:rsid w:val="00A86035"/>
    <w:rsid w:val="00A86D1E"/>
    <w:rsid w:val="00A87F55"/>
    <w:rsid w:val="00A90D71"/>
    <w:rsid w:val="00A93BFF"/>
    <w:rsid w:val="00A93E12"/>
    <w:rsid w:val="00A95CC1"/>
    <w:rsid w:val="00AA31F9"/>
    <w:rsid w:val="00AA57B4"/>
    <w:rsid w:val="00AB0022"/>
    <w:rsid w:val="00AB49EC"/>
    <w:rsid w:val="00AB6432"/>
    <w:rsid w:val="00AC0C4E"/>
    <w:rsid w:val="00AD3140"/>
    <w:rsid w:val="00AE1949"/>
    <w:rsid w:val="00AE1BF0"/>
    <w:rsid w:val="00AE295A"/>
    <w:rsid w:val="00AF0252"/>
    <w:rsid w:val="00AF111D"/>
    <w:rsid w:val="00AF197F"/>
    <w:rsid w:val="00AF30A0"/>
    <w:rsid w:val="00AF55BF"/>
    <w:rsid w:val="00AF7175"/>
    <w:rsid w:val="00B01B95"/>
    <w:rsid w:val="00B0649F"/>
    <w:rsid w:val="00B17376"/>
    <w:rsid w:val="00B2058B"/>
    <w:rsid w:val="00B20B68"/>
    <w:rsid w:val="00B21AEB"/>
    <w:rsid w:val="00B21D55"/>
    <w:rsid w:val="00B249AE"/>
    <w:rsid w:val="00B3605E"/>
    <w:rsid w:val="00B36FA5"/>
    <w:rsid w:val="00B3719C"/>
    <w:rsid w:val="00B37DC1"/>
    <w:rsid w:val="00B41A83"/>
    <w:rsid w:val="00B42C7B"/>
    <w:rsid w:val="00B439A7"/>
    <w:rsid w:val="00B44182"/>
    <w:rsid w:val="00B45873"/>
    <w:rsid w:val="00B54AA9"/>
    <w:rsid w:val="00B6180D"/>
    <w:rsid w:val="00B61DE8"/>
    <w:rsid w:val="00B6224E"/>
    <w:rsid w:val="00B653D5"/>
    <w:rsid w:val="00B73782"/>
    <w:rsid w:val="00B742A6"/>
    <w:rsid w:val="00B75838"/>
    <w:rsid w:val="00B81CF3"/>
    <w:rsid w:val="00B82943"/>
    <w:rsid w:val="00B82B33"/>
    <w:rsid w:val="00B8514E"/>
    <w:rsid w:val="00B85B67"/>
    <w:rsid w:val="00B94B20"/>
    <w:rsid w:val="00BA4313"/>
    <w:rsid w:val="00BA4470"/>
    <w:rsid w:val="00BA6CD9"/>
    <w:rsid w:val="00BB34DE"/>
    <w:rsid w:val="00BB46FC"/>
    <w:rsid w:val="00BB650B"/>
    <w:rsid w:val="00BB7F6D"/>
    <w:rsid w:val="00BC220E"/>
    <w:rsid w:val="00BC5EA5"/>
    <w:rsid w:val="00BE3D04"/>
    <w:rsid w:val="00BE41F3"/>
    <w:rsid w:val="00BE450A"/>
    <w:rsid w:val="00BE553D"/>
    <w:rsid w:val="00BE6782"/>
    <w:rsid w:val="00BE7206"/>
    <w:rsid w:val="00BF73A0"/>
    <w:rsid w:val="00C00448"/>
    <w:rsid w:val="00C00D64"/>
    <w:rsid w:val="00C02A95"/>
    <w:rsid w:val="00C046C9"/>
    <w:rsid w:val="00C06A15"/>
    <w:rsid w:val="00C06E42"/>
    <w:rsid w:val="00C13B5C"/>
    <w:rsid w:val="00C14192"/>
    <w:rsid w:val="00C16384"/>
    <w:rsid w:val="00C17176"/>
    <w:rsid w:val="00C26846"/>
    <w:rsid w:val="00C336C1"/>
    <w:rsid w:val="00C35235"/>
    <w:rsid w:val="00C36250"/>
    <w:rsid w:val="00C36933"/>
    <w:rsid w:val="00C40794"/>
    <w:rsid w:val="00C42089"/>
    <w:rsid w:val="00C4332B"/>
    <w:rsid w:val="00C43FB8"/>
    <w:rsid w:val="00C44B0D"/>
    <w:rsid w:val="00C4563F"/>
    <w:rsid w:val="00C4735D"/>
    <w:rsid w:val="00C5055C"/>
    <w:rsid w:val="00C50F3D"/>
    <w:rsid w:val="00C56C55"/>
    <w:rsid w:val="00C57E33"/>
    <w:rsid w:val="00C625A6"/>
    <w:rsid w:val="00C634C3"/>
    <w:rsid w:val="00C63EBC"/>
    <w:rsid w:val="00C66413"/>
    <w:rsid w:val="00C722CD"/>
    <w:rsid w:val="00C75C0B"/>
    <w:rsid w:val="00C7671C"/>
    <w:rsid w:val="00C76946"/>
    <w:rsid w:val="00C7728E"/>
    <w:rsid w:val="00C777B0"/>
    <w:rsid w:val="00C800CD"/>
    <w:rsid w:val="00C80C95"/>
    <w:rsid w:val="00C831B1"/>
    <w:rsid w:val="00C863AD"/>
    <w:rsid w:val="00C864C3"/>
    <w:rsid w:val="00C864C5"/>
    <w:rsid w:val="00C90EBF"/>
    <w:rsid w:val="00CA0D3D"/>
    <w:rsid w:val="00CA597E"/>
    <w:rsid w:val="00CB0372"/>
    <w:rsid w:val="00CB1DEC"/>
    <w:rsid w:val="00CB25DD"/>
    <w:rsid w:val="00CB72A4"/>
    <w:rsid w:val="00CC030E"/>
    <w:rsid w:val="00CC08F3"/>
    <w:rsid w:val="00CC0B81"/>
    <w:rsid w:val="00CC1626"/>
    <w:rsid w:val="00CC6170"/>
    <w:rsid w:val="00CD495A"/>
    <w:rsid w:val="00CD5659"/>
    <w:rsid w:val="00CE326E"/>
    <w:rsid w:val="00CE5FB0"/>
    <w:rsid w:val="00CE6AF6"/>
    <w:rsid w:val="00CF2799"/>
    <w:rsid w:val="00D02947"/>
    <w:rsid w:val="00D034C5"/>
    <w:rsid w:val="00D040DB"/>
    <w:rsid w:val="00D04A71"/>
    <w:rsid w:val="00D07AB6"/>
    <w:rsid w:val="00D10853"/>
    <w:rsid w:val="00D13C64"/>
    <w:rsid w:val="00D17297"/>
    <w:rsid w:val="00D1752B"/>
    <w:rsid w:val="00D21386"/>
    <w:rsid w:val="00D21DF8"/>
    <w:rsid w:val="00D27268"/>
    <w:rsid w:val="00D30635"/>
    <w:rsid w:val="00D30AE7"/>
    <w:rsid w:val="00D35B71"/>
    <w:rsid w:val="00D425A3"/>
    <w:rsid w:val="00D439A8"/>
    <w:rsid w:val="00D5490D"/>
    <w:rsid w:val="00D54C91"/>
    <w:rsid w:val="00D63320"/>
    <w:rsid w:val="00D67643"/>
    <w:rsid w:val="00D67886"/>
    <w:rsid w:val="00D72CB1"/>
    <w:rsid w:val="00D72E4D"/>
    <w:rsid w:val="00D75E17"/>
    <w:rsid w:val="00D82951"/>
    <w:rsid w:val="00D8721E"/>
    <w:rsid w:val="00D906D4"/>
    <w:rsid w:val="00D91B55"/>
    <w:rsid w:val="00D9364F"/>
    <w:rsid w:val="00D95377"/>
    <w:rsid w:val="00DA0F2D"/>
    <w:rsid w:val="00DA212D"/>
    <w:rsid w:val="00DA46C3"/>
    <w:rsid w:val="00DA5FFF"/>
    <w:rsid w:val="00DA6249"/>
    <w:rsid w:val="00DA7426"/>
    <w:rsid w:val="00DA7CDF"/>
    <w:rsid w:val="00DB499F"/>
    <w:rsid w:val="00DB4E8C"/>
    <w:rsid w:val="00DB66B2"/>
    <w:rsid w:val="00DC57F7"/>
    <w:rsid w:val="00DD6998"/>
    <w:rsid w:val="00DD765D"/>
    <w:rsid w:val="00DE1918"/>
    <w:rsid w:val="00DE3332"/>
    <w:rsid w:val="00DE4B2F"/>
    <w:rsid w:val="00DF1BF3"/>
    <w:rsid w:val="00DF52A5"/>
    <w:rsid w:val="00E000E1"/>
    <w:rsid w:val="00E012D1"/>
    <w:rsid w:val="00E01953"/>
    <w:rsid w:val="00E04D11"/>
    <w:rsid w:val="00E127B8"/>
    <w:rsid w:val="00E128C6"/>
    <w:rsid w:val="00E167A8"/>
    <w:rsid w:val="00E202B0"/>
    <w:rsid w:val="00E30928"/>
    <w:rsid w:val="00E32E83"/>
    <w:rsid w:val="00E33316"/>
    <w:rsid w:val="00E353D6"/>
    <w:rsid w:val="00E37F27"/>
    <w:rsid w:val="00E410B1"/>
    <w:rsid w:val="00E44819"/>
    <w:rsid w:val="00E466E8"/>
    <w:rsid w:val="00E46E79"/>
    <w:rsid w:val="00E46FD1"/>
    <w:rsid w:val="00E5182D"/>
    <w:rsid w:val="00E6326C"/>
    <w:rsid w:val="00E716FC"/>
    <w:rsid w:val="00E71AE9"/>
    <w:rsid w:val="00E75436"/>
    <w:rsid w:val="00E76BBB"/>
    <w:rsid w:val="00E82B22"/>
    <w:rsid w:val="00E84938"/>
    <w:rsid w:val="00E91A63"/>
    <w:rsid w:val="00E92511"/>
    <w:rsid w:val="00E933BB"/>
    <w:rsid w:val="00E94259"/>
    <w:rsid w:val="00E9480E"/>
    <w:rsid w:val="00E94A5C"/>
    <w:rsid w:val="00E9620B"/>
    <w:rsid w:val="00E96377"/>
    <w:rsid w:val="00E977B1"/>
    <w:rsid w:val="00EA0073"/>
    <w:rsid w:val="00EA01A4"/>
    <w:rsid w:val="00EA09F2"/>
    <w:rsid w:val="00EB0949"/>
    <w:rsid w:val="00EB3127"/>
    <w:rsid w:val="00EB317A"/>
    <w:rsid w:val="00EB6F45"/>
    <w:rsid w:val="00EC169A"/>
    <w:rsid w:val="00EC66AB"/>
    <w:rsid w:val="00ED5E97"/>
    <w:rsid w:val="00ED7CC0"/>
    <w:rsid w:val="00EE1A29"/>
    <w:rsid w:val="00EE1B7E"/>
    <w:rsid w:val="00EE27F0"/>
    <w:rsid w:val="00EF0896"/>
    <w:rsid w:val="00EF18D0"/>
    <w:rsid w:val="00F04281"/>
    <w:rsid w:val="00F05614"/>
    <w:rsid w:val="00F0691C"/>
    <w:rsid w:val="00F10C6F"/>
    <w:rsid w:val="00F12627"/>
    <w:rsid w:val="00F129DC"/>
    <w:rsid w:val="00F1314E"/>
    <w:rsid w:val="00F15D72"/>
    <w:rsid w:val="00F167DA"/>
    <w:rsid w:val="00F20DB7"/>
    <w:rsid w:val="00F22E8D"/>
    <w:rsid w:val="00F25FA3"/>
    <w:rsid w:val="00F303DC"/>
    <w:rsid w:val="00F33E37"/>
    <w:rsid w:val="00F34AFF"/>
    <w:rsid w:val="00F34C53"/>
    <w:rsid w:val="00F369E1"/>
    <w:rsid w:val="00F508C6"/>
    <w:rsid w:val="00F607CE"/>
    <w:rsid w:val="00F6201B"/>
    <w:rsid w:val="00F65CEE"/>
    <w:rsid w:val="00F67938"/>
    <w:rsid w:val="00F67F1D"/>
    <w:rsid w:val="00F70160"/>
    <w:rsid w:val="00F7316B"/>
    <w:rsid w:val="00F81B10"/>
    <w:rsid w:val="00F82D7E"/>
    <w:rsid w:val="00F87C16"/>
    <w:rsid w:val="00F94BD9"/>
    <w:rsid w:val="00F94DC0"/>
    <w:rsid w:val="00FA3286"/>
    <w:rsid w:val="00FB4468"/>
    <w:rsid w:val="00FB6A16"/>
    <w:rsid w:val="00FB7D1D"/>
    <w:rsid w:val="00FC385C"/>
    <w:rsid w:val="00FC4F73"/>
    <w:rsid w:val="00FD06F6"/>
    <w:rsid w:val="00FD17FC"/>
    <w:rsid w:val="00FD2E9B"/>
    <w:rsid w:val="00FE2C9B"/>
    <w:rsid w:val="00FE53F3"/>
    <w:rsid w:val="00FE7702"/>
    <w:rsid w:val="00FF1C3F"/>
    <w:rsid w:val="00FF47CF"/>
    <w:rsid w:val="0E3BE76E"/>
    <w:rsid w:val="0F524A07"/>
    <w:rsid w:val="1621BAA3"/>
    <w:rsid w:val="303B7B1A"/>
    <w:rsid w:val="3B1F6B6C"/>
    <w:rsid w:val="4FDC3B84"/>
    <w:rsid w:val="6554EDDE"/>
    <w:rsid w:val="681B9274"/>
    <w:rsid w:val="78E7FC1E"/>
    <w:rsid w:val="7C9A07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35BC"/>
  <w15:chartTrackingRefBased/>
  <w15:docId w15:val="{EBAEE712-8854-42DF-97F9-571198B7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72F"/>
    <w:pPr>
      <w:widowControl w:val="0"/>
      <w:kinsoku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5D32"/>
    <w:pPr>
      <w:tabs>
        <w:tab w:val="center" w:pos="4536"/>
        <w:tab w:val="right" w:pos="9072"/>
      </w:tabs>
    </w:pPr>
  </w:style>
  <w:style w:type="character" w:customStyle="1" w:styleId="En-tteCar">
    <w:name w:val="En-tête Car"/>
    <w:basedOn w:val="Policepardfaut"/>
    <w:link w:val="En-tte"/>
    <w:uiPriority w:val="99"/>
    <w:rsid w:val="000C5D32"/>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0C5D32"/>
    <w:pPr>
      <w:tabs>
        <w:tab w:val="center" w:pos="4536"/>
        <w:tab w:val="right" w:pos="9072"/>
      </w:tabs>
    </w:pPr>
  </w:style>
  <w:style w:type="character" w:customStyle="1" w:styleId="PieddepageCar">
    <w:name w:val="Pied de page Car"/>
    <w:basedOn w:val="Policepardfaut"/>
    <w:link w:val="Pieddepage"/>
    <w:uiPriority w:val="99"/>
    <w:rsid w:val="000C5D32"/>
    <w:rPr>
      <w:rFonts w:ascii="Times New Roman" w:eastAsiaTheme="minorEastAsia" w:hAnsi="Times New Roman" w:cs="Times New Roman"/>
      <w:sz w:val="24"/>
      <w:szCs w:val="24"/>
      <w:lang w:eastAsia="fr-FR"/>
    </w:rPr>
  </w:style>
  <w:style w:type="table" w:styleId="Grilledutableau">
    <w:name w:val="Table Grid"/>
    <w:basedOn w:val="TableauNormal"/>
    <w:uiPriority w:val="39"/>
    <w:rsid w:val="000C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5303"/>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C00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8870</Words>
  <Characters>48790</Characters>
  <Application>Microsoft Office Word</Application>
  <DocSecurity>0</DocSecurity>
  <Lines>406</Lines>
  <Paragraphs>115</Paragraphs>
  <ScaleCrop>false</ScaleCrop>
  <Company/>
  <LinksUpToDate>false</LinksUpToDate>
  <CharactersWithSpaces>57545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Berthier</dc:creator>
  <cp:keywords/>
  <dc:description/>
  <cp:lastModifiedBy>bruno mombelli</cp:lastModifiedBy>
  <cp:revision>8</cp:revision>
  <dcterms:created xsi:type="dcterms:W3CDTF">2020-06-24T11:45:00Z</dcterms:created>
  <dcterms:modified xsi:type="dcterms:W3CDTF">2020-09-01T11:56:00Z</dcterms:modified>
</cp:coreProperties>
</file>