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8C16" w14:textId="798C7421" w:rsidR="002B6B3E" w:rsidRPr="00C046C9" w:rsidRDefault="1621BAA3" w:rsidP="1621BAA3">
      <w:pPr>
        <w:jc w:val="center"/>
        <w:rPr>
          <w:rFonts w:ascii="Arial" w:hAnsi="Arial" w:cs="Arial"/>
          <w:b/>
          <w:bCs/>
          <w:color w:val="002060"/>
          <w:sz w:val="28"/>
          <w:szCs w:val="28"/>
        </w:rPr>
      </w:pPr>
      <w:r w:rsidRPr="1621BAA3">
        <w:rPr>
          <w:rFonts w:ascii="Arial" w:hAnsi="Arial" w:cs="Arial"/>
          <w:b/>
          <w:bCs/>
          <w:color w:val="002060"/>
          <w:sz w:val="28"/>
          <w:szCs w:val="28"/>
        </w:rPr>
        <w:t>Analyse du programme d’enseignement scientifique en première</w:t>
      </w:r>
    </w:p>
    <w:p w14:paraId="1C5016CB" w14:textId="343A88C6" w:rsidR="00C046C9" w:rsidRPr="00C046C9" w:rsidRDefault="00C046C9" w:rsidP="00C046C9">
      <w:pPr>
        <w:jc w:val="center"/>
        <w:rPr>
          <w:rFonts w:ascii="Arial" w:hAnsi="Arial" w:cs="Arial"/>
          <w:i/>
        </w:rPr>
      </w:pPr>
      <w:r w:rsidRPr="00C046C9">
        <w:rPr>
          <w:rFonts w:ascii="Arial" w:hAnsi="Arial" w:cs="Arial"/>
          <w:i/>
        </w:rPr>
        <w:t>Capacités de seconde re mobilisables, sauts conceptuels en première et liens avec les programmes de spécialité</w:t>
      </w:r>
    </w:p>
    <w:p w14:paraId="4EFB9640" w14:textId="24C00066" w:rsidR="000D4261" w:rsidRPr="00C046C9" w:rsidRDefault="000D4261">
      <w:pPr>
        <w:rPr>
          <w:i/>
        </w:rPr>
      </w:pPr>
    </w:p>
    <w:p w14:paraId="74DC1926" w14:textId="3ABDCDAD" w:rsidR="000D4261" w:rsidRDefault="000D4261"/>
    <w:tbl>
      <w:tblPr>
        <w:tblStyle w:val="Grilledutableau"/>
        <w:tblW w:w="0" w:type="auto"/>
        <w:tblInd w:w="-572" w:type="dxa"/>
        <w:tblLook w:val="04A0" w:firstRow="1" w:lastRow="0" w:firstColumn="1" w:lastColumn="0" w:noHBand="0" w:noVBand="1"/>
      </w:tblPr>
      <w:tblGrid>
        <w:gridCol w:w="3370"/>
        <w:gridCol w:w="3151"/>
        <w:gridCol w:w="2693"/>
        <w:gridCol w:w="2553"/>
        <w:gridCol w:w="2799"/>
      </w:tblGrid>
      <w:tr w:rsidR="000D4261" w14:paraId="76732D54" w14:textId="77777777" w:rsidTr="303B7B1A">
        <w:tc>
          <w:tcPr>
            <w:tcW w:w="14566" w:type="dxa"/>
            <w:gridSpan w:val="5"/>
            <w:shd w:val="clear" w:color="auto" w:fill="297C8D"/>
          </w:tcPr>
          <w:p w14:paraId="1D483703" w14:textId="431D7F81" w:rsidR="000D4261" w:rsidRDefault="00665303">
            <w:bookmarkStart w:id="0" w:name="_Hlk6926384"/>
            <w:r w:rsidRPr="00C00448">
              <w:rPr>
                <w:rFonts w:ascii="Arial" w:hAnsi="Arial" w:cs="Arial"/>
                <w:b/>
                <w:bCs/>
                <w:color w:val="FFFFFF" w:themeColor="background1"/>
                <w:spacing w:val="-1"/>
                <w:w w:val="105"/>
                <w:sz w:val="22"/>
                <w:szCs w:val="22"/>
              </w:rPr>
              <w:t>1</w:t>
            </w:r>
            <w:r w:rsidR="000D4261" w:rsidRPr="00C00448">
              <w:rPr>
                <w:rFonts w:ascii="Arial" w:hAnsi="Arial" w:cs="Arial"/>
                <w:b/>
                <w:bCs/>
                <w:color w:val="FFFFFF" w:themeColor="background1"/>
                <w:spacing w:val="-1"/>
                <w:w w:val="105"/>
                <w:sz w:val="22"/>
                <w:szCs w:val="22"/>
              </w:rPr>
              <w:t xml:space="preserve"> </w:t>
            </w:r>
            <w:r w:rsidRPr="00C00448">
              <w:rPr>
                <w:rFonts w:ascii="Arial" w:hAnsi="Arial" w:cs="Arial"/>
                <w:b/>
                <w:bCs/>
                <w:color w:val="FFFFFF" w:themeColor="background1"/>
                <w:spacing w:val="-1"/>
                <w:w w:val="105"/>
                <w:sz w:val="22"/>
                <w:szCs w:val="22"/>
              </w:rPr>
              <w:t>–</w:t>
            </w:r>
            <w:r w:rsidR="000D4261" w:rsidRPr="00C00448">
              <w:rPr>
                <w:rFonts w:ascii="Arial" w:hAnsi="Arial" w:cs="Arial"/>
                <w:b/>
                <w:bCs/>
                <w:color w:val="FFFFFF" w:themeColor="background1"/>
                <w:spacing w:val="-1"/>
                <w:w w:val="105"/>
                <w:sz w:val="22"/>
                <w:szCs w:val="22"/>
              </w:rPr>
              <w:t xml:space="preserve"> </w:t>
            </w:r>
            <w:r w:rsidRPr="00C00448">
              <w:rPr>
                <w:rFonts w:ascii="Arial" w:hAnsi="Arial" w:cs="Arial"/>
                <w:b/>
                <w:bCs/>
                <w:color w:val="FFFFFF" w:themeColor="background1"/>
                <w:spacing w:val="-1"/>
                <w:w w:val="105"/>
                <w:sz w:val="22"/>
                <w:szCs w:val="22"/>
              </w:rPr>
              <w:t>Une longue histoire de la matière</w:t>
            </w:r>
          </w:p>
        </w:tc>
      </w:tr>
      <w:tr w:rsidR="000D4261" w14:paraId="4706CF06" w14:textId="77777777" w:rsidTr="303B7B1A">
        <w:tc>
          <w:tcPr>
            <w:tcW w:w="14566" w:type="dxa"/>
            <w:gridSpan w:val="5"/>
          </w:tcPr>
          <w:p w14:paraId="1E29DCC2" w14:textId="65BBAA7F" w:rsidR="000D4261" w:rsidRPr="00665303" w:rsidRDefault="00665303" w:rsidP="00665303">
            <w:pPr>
              <w:pStyle w:val="Default"/>
              <w:rPr>
                <w:sz w:val="22"/>
                <w:szCs w:val="22"/>
              </w:rPr>
            </w:pPr>
            <w:r>
              <w:rPr>
                <w:sz w:val="22"/>
                <w:szCs w:val="22"/>
              </w:rPr>
              <w:t xml:space="preserve">L’immense diversité de la matière dans l’Univers se décrit à partir d’un petit nombre de particules élémentaires qui se sont organisées de façon hiérarchisée, en unités de plus en plus complexes, depuis le </w:t>
            </w:r>
            <w:r>
              <w:rPr>
                <w:i/>
                <w:iCs/>
                <w:sz w:val="22"/>
                <w:szCs w:val="22"/>
              </w:rPr>
              <w:t xml:space="preserve">Big Bang </w:t>
            </w:r>
            <w:r>
              <w:rPr>
                <w:sz w:val="22"/>
                <w:szCs w:val="22"/>
              </w:rPr>
              <w:t xml:space="preserve">jusqu’au développement de la vie. </w:t>
            </w:r>
          </w:p>
        </w:tc>
      </w:tr>
      <w:tr w:rsidR="000D4261" w14:paraId="7E943547" w14:textId="77777777" w:rsidTr="303B7B1A">
        <w:tc>
          <w:tcPr>
            <w:tcW w:w="14566" w:type="dxa"/>
            <w:gridSpan w:val="5"/>
          </w:tcPr>
          <w:p w14:paraId="234BC482" w14:textId="77777777" w:rsidR="00665303" w:rsidRDefault="00665303" w:rsidP="00665303">
            <w:pPr>
              <w:pStyle w:val="Default"/>
              <w:rPr>
                <w:sz w:val="22"/>
                <w:szCs w:val="22"/>
              </w:rPr>
            </w:pPr>
            <w:r>
              <w:rPr>
                <w:b/>
                <w:bCs/>
                <w:sz w:val="22"/>
                <w:szCs w:val="22"/>
              </w:rPr>
              <w:t xml:space="preserve">Histoire, enjeux et débats </w:t>
            </w:r>
          </w:p>
          <w:p w14:paraId="2CBE809A" w14:textId="77777777" w:rsidR="00665303" w:rsidRDefault="00665303" w:rsidP="00665303">
            <w:pPr>
              <w:pStyle w:val="Default"/>
              <w:rPr>
                <w:sz w:val="22"/>
                <w:szCs w:val="22"/>
              </w:rPr>
            </w:pPr>
            <w:r>
              <w:rPr>
                <w:sz w:val="22"/>
                <w:szCs w:val="22"/>
              </w:rPr>
              <w:t xml:space="preserve">De Fraunhofer à Bethe : les éléments dans les étoiles. </w:t>
            </w:r>
          </w:p>
          <w:p w14:paraId="23585177" w14:textId="77777777" w:rsidR="00665303" w:rsidRDefault="00665303" w:rsidP="00665303">
            <w:pPr>
              <w:pStyle w:val="Default"/>
              <w:rPr>
                <w:sz w:val="22"/>
                <w:szCs w:val="22"/>
              </w:rPr>
            </w:pPr>
            <w:r>
              <w:rPr>
                <w:sz w:val="22"/>
                <w:szCs w:val="22"/>
              </w:rPr>
              <w:t xml:space="preserve">Hooke, Schleiden et Schwann : de la découverte de la cellule à la théorie cellulaire. </w:t>
            </w:r>
          </w:p>
          <w:p w14:paraId="0E39FA94" w14:textId="77777777" w:rsidR="00665303" w:rsidRDefault="00665303" w:rsidP="00665303">
            <w:pPr>
              <w:pStyle w:val="Default"/>
              <w:rPr>
                <w:sz w:val="22"/>
                <w:szCs w:val="22"/>
              </w:rPr>
            </w:pPr>
            <w:r>
              <w:rPr>
                <w:sz w:val="22"/>
                <w:szCs w:val="22"/>
              </w:rPr>
              <w:t xml:space="preserve">Becquerel, Marie Curie : la découverte de la radioactivité, du radium. </w:t>
            </w:r>
          </w:p>
          <w:p w14:paraId="1A59B57D" w14:textId="47786974" w:rsidR="000D4261" w:rsidRDefault="00665303" w:rsidP="00665303">
            <w:r>
              <w:rPr>
                <w:sz w:val="22"/>
                <w:szCs w:val="22"/>
              </w:rPr>
              <w:t xml:space="preserve">Industrie des métaux et du verre. </w:t>
            </w:r>
          </w:p>
        </w:tc>
      </w:tr>
      <w:tr w:rsidR="000D4261" w14:paraId="5F3ADF45" w14:textId="77777777" w:rsidTr="303B7B1A">
        <w:tc>
          <w:tcPr>
            <w:tcW w:w="14566" w:type="dxa"/>
            <w:gridSpan w:val="5"/>
          </w:tcPr>
          <w:p w14:paraId="251D2FA4" w14:textId="39541E6A" w:rsidR="000D4261" w:rsidRPr="00C00448" w:rsidRDefault="00C00448" w:rsidP="00C00448">
            <w:pPr>
              <w:pStyle w:val="Paragraphedeliste"/>
              <w:numPr>
                <w:ilvl w:val="1"/>
                <w:numId w:val="2"/>
              </w:numPr>
              <w:spacing w:before="72"/>
              <w:rPr>
                <w:rFonts w:ascii="Arial" w:hAnsi="Arial" w:cs="Arial"/>
                <w:b/>
                <w:bCs/>
                <w:color w:val="17818E"/>
                <w:spacing w:val="-4"/>
                <w:w w:val="105"/>
                <w:sz w:val="22"/>
                <w:szCs w:val="22"/>
              </w:rPr>
            </w:pPr>
            <w:r w:rsidRPr="00C00448">
              <w:rPr>
                <w:rFonts w:ascii="Arial" w:hAnsi="Arial" w:cs="Arial"/>
                <w:b/>
                <w:bCs/>
                <w:color w:val="17818E"/>
                <w:spacing w:val="-4"/>
                <w:w w:val="105"/>
                <w:sz w:val="22"/>
                <w:szCs w:val="22"/>
              </w:rPr>
              <w:t>–</w:t>
            </w:r>
            <w:r w:rsidR="000D4261" w:rsidRPr="00C00448">
              <w:rPr>
                <w:rFonts w:ascii="Arial" w:hAnsi="Arial" w:cs="Arial"/>
                <w:b/>
                <w:bCs/>
                <w:color w:val="17818E"/>
                <w:spacing w:val="-4"/>
                <w:w w:val="105"/>
                <w:sz w:val="22"/>
                <w:szCs w:val="22"/>
              </w:rPr>
              <w:t xml:space="preserve"> </w:t>
            </w:r>
            <w:r w:rsidRPr="00C00448">
              <w:rPr>
                <w:rFonts w:ascii="Arial" w:hAnsi="Arial" w:cs="Arial"/>
                <w:b/>
                <w:bCs/>
                <w:color w:val="17818E"/>
                <w:spacing w:val="-4"/>
                <w:w w:val="105"/>
                <w:sz w:val="22"/>
                <w:szCs w:val="22"/>
              </w:rPr>
              <w:t>Un niveau d’organisation : les éléments chimiques</w:t>
            </w:r>
          </w:p>
          <w:p w14:paraId="725C6FD3" w14:textId="75E94B9D" w:rsidR="000D4261" w:rsidRPr="007C3388" w:rsidRDefault="00C00448" w:rsidP="007C3388">
            <w:pPr>
              <w:pStyle w:val="Default"/>
              <w:rPr>
                <w:sz w:val="22"/>
                <w:szCs w:val="22"/>
              </w:rPr>
            </w:pPr>
            <w:r>
              <w:rPr>
                <w:sz w:val="22"/>
                <w:szCs w:val="22"/>
              </w:rPr>
              <w:t xml:space="preserve">Comment, à partir du seul élément hydrogène, la diversité des éléments chimiques est-elle apparue ? Aborder cette question nécessite de s’intéresser aux noyaux atomiques et à leurs transformations. Cela fournit l’occasion d’introduire un modèle mathématique d’évolution discrète. </w:t>
            </w:r>
          </w:p>
        </w:tc>
      </w:tr>
      <w:tr w:rsidR="007F4857" w14:paraId="1AC253A4" w14:textId="77777777" w:rsidTr="303B7B1A">
        <w:tc>
          <w:tcPr>
            <w:tcW w:w="3370" w:type="dxa"/>
            <w:tcBorders>
              <w:top w:val="single" w:sz="4" w:space="0" w:color="auto"/>
              <w:left w:val="single" w:sz="4" w:space="0" w:color="auto"/>
              <w:bottom w:val="single" w:sz="4" w:space="0" w:color="auto"/>
              <w:right w:val="single" w:sz="4" w:space="0" w:color="auto"/>
            </w:tcBorders>
            <w:vAlign w:val="center"/>
          </w:tcPr>
          <w:p w14:paraId="70945060" w14:textId="1A273F34" w:rsidR="007F4857" w:rsidRDefault="007F4857" w:rsidP="007F4857">
            <w:bookmarkStart w:id="1" w:name="_Hlk6926945"/>
            <w:r>
              <w:rPr>
                <w:rFonts w:ascii="Arial" w:hAnsi="Arial" w:cs="Arial"/>
                <w:b/>
                <w:bCs/>
                <w:sz w:val="22"/>
                <w:szCs w:val="22"/>
              </w:rPr>
              <w:t>Savoirs</w:t>
            </w:r>
          </w:p>
        </w:tc>
        <w:tc>
          <w:tcPr>
            <w:tcW w:w="3151" w:type="dxa"/>
            <w:tcBorders>
              <w:top w:val="single" w:sz="4" w:space="0" w:color="auto"/>
              <w:left w:val="single" w:sz="4" w:space="0" w:color="auto"/>
              <w:bottom w:val="single" w:sz="4" w:space="0" w:color="auto"/>
              <w:right w:val="single" w:sz="4" w:space="0" w:color="auto"/>
            </w:tcBorders>
            <w:vAlign w:val="center"/>
          </w:tcPr>
          <w:p w14:paraId="04DC6BD0" w14:textId="6EB0670F" w:rsidR="007F4857" w:rsidRDefault="007F4857" w:rsidP="007F4857">
            <w:r>
              <w:rPr>
                <w:rFonts w:ascii="Arial" w:hAnsi="Arial" w:cs="Arial"/>
                <w:b/>
                <w:bCs/>
                <w:sz w:val="22"/>
                <w:szCs w:val="22"/>
              </w:rPr>
              <w:t>Savoir-faire</w:t>
            </w:r>
          </w:p>
        </w:tc>
        <w:tc>
          <w:tcPr>
            <w:tcW w:w="2693" w:type="dxa"/>
            <w:shd w:val="clear" w:color="auto" w:fill="BDD6EE" w:themeFill="accent5" w:themeFillTint="66"/>
          </w:tcPr>
          <w:p w14:paraId="1720C4A2" w14:textId="4F1F1854" w:rsidR="007F4857" w:rsidRDefault="007F4857" w:rsidP="007F4857">
            <w:r>
              <w:rPr>
                <w:rFonts w:asciiTheme="minorHAnsi" w:hAnsiTheme="minorHAnsi" w:cstheme="minorHAnsi"/>
                <w:b/>
              </w:rPr>
              <w:t xml:space="preserve">Capacités exigibles de seconde </w:t>
            </w:r>
            <w:proofErr w:type="spellStart"/>
            <w:r w:rsidR="0076705D">
              <w:rPr>
                <w:rFonts w:asciiTheme="minorHAnsi" w:hAnsiTheme="minorHAnsi" w:cstheme="minorHAnsi"/>
                <w:b/>
              </w:rPr>
              <w:t>remobilisables</w:t>
            </w:r>
            <w:proofErr w:type="spellEnd"/>
          </w:p>
        </w:tc>
        <w:tc>
          <w:tcPr>
            <w:tcW w:w="2553" w:type="dxa"/>
          </w:tcPr>
          <w:p w14:paraId="5F244BEC" w14:textId="2E3CD585" w:rsidR="007F4857" w:rsidRDefault="007F4857" w:rsidP="007F4857">
            <w:r w:rsidRPr="000C5D32">
              <w:rPr>
                <w:rFonts w:asciiTheme="minorHAnsi" w:hAnsiTheme="minorHAnsi" w:cstheme="minorHAnsi"/>
                <w:b/>
              </w:rPr>
              <w:t>Saut conceptuel en première</w:t>
            </w:r>
          </w:p>
        </w:tc>
        <w:tc>
          <w:tcPr>
            <w:tcW w:w="2799" w:type="dxa"/>
          </w:tcPr>
          <w:p w14:paraId="0E818B1B" w14:textId="4758DA8F" w:rsidR="007F4857" w:rsidRPr="007F4857" w:rsidRDefault="007F4857" w:rsidP="007F4857">
            <w:pPr>
              <w:rPr>
                <w:rFonts w:asciiTheme="minorHAnsi" w:hAnsiTheme="minorHAnsi" w:cstheme="minorHAnsi"/>
                <w:b/>
              </w:rPr>
            </w:pPr>
            <w:r w:rsidRPr="007F4857">
              <w:rPr>
                <w:rFonts w:asciiTheme="minorHAnsi" w:hAnsiTheme="minorHAnsi" w:cstheme="minorHAnsi"/>
                <w:b/>
              </w:rPr>
              <w:t>Liens avec les programmes de spécialité</w:t>
            </w:r>
          </w:p>
        </w:tc>
      </w:tr>
      <w:bookmarkEnd w:id="1"/>
      <w:tr w:rsidR="007C3388" w14:paraId="296D5965" w14:textId="77777777" w:rsidTr="303B7B1A">
        <w:tc>
          <w:tcPr>
            <w:tcW w:w="3370" w:type="dxa"/>
          </w:tcPr>
          <w:p w14:paraId="2C0F8356" w14:textId="3D369E3A" w:rsidR="007C3388" w:rsidRPr="00C00448" w:rsidRDefault="007C3388" w:rsidP="00C00448">
            <w:pPr>
              <w:rPr>
                <w:rFonts w:ascii="Arial" w:hAnsi="Arial" w:cs="Arial"/>
                <w:sz w:val="22"/>
                <w:szCs w:val="22"/>
              </w:rPr>
            </w:pPr>
            <w:r w:rsidRPr="00C00448">
              <w:rPr>
                <w:rFonts w:ascii="Arial" w:hAnsi="Arial" w:cs="Arial"/>
                <w:sz w:val="22"/>
                <w:szCs w:val="22"/>
              </w:rPr>
              <w:t xml:space="preserve">Les noyaux des atomes de la centaine d’éléments chimiques stables résultent de réactions nucléaires qui se produisent au sein des étoiles à partir de l’hydrogène initial. La matière connue de l’Univers est formée principalement d’hydrogène et d’hélium alors que la Terre est surtout constituée d’oxygène, d’hydrogène, de fer, de silicium, de magnésium et les êtres vivants de carbone, hydrogène, oxygène et azote. </w:t>
            </w:r>
          </w:p>
        </w:tc>
        <w:tc>
          <w:tcPr>
            <w:tcW w:w="3151" w:type="dxa"/>
          </w:tcPr>
          <w:p w14:paraId="7FD9E401" w14:textId="77777777" w:rsidR="007C3388" w:rsidRPr="00C00448" w:rsidRDefault="007C3388" w:rsidP="00C00448">
            <w:pPr>
              <w:pStyle w:val="Default"/>
              <w:rPr>
                <w:sz w:val="22"/>
                <w:szCs w:val="22"/>
              </w:rPr>
            </w:pPr>
            <w:r w:rsidRPr="00C00448">
              <w:rPr>
                <w:sz w:val="22"/>
                <w:szCs w:val="22"/>
              </w:rPr>
              <w:t xml:space="preserve">Produire et analyser différentes représentations graphiques de l’abondance des éléments chimiques (proportions) dans l’Univers, la Terre, les êtres vivants. </w:t>
            </w:r>
          </w:p>
          <w:p w14:paraId="6A2E3C07" w14:textId="650CE728" w:rsidR="007C3388" w:rsidRPr="00C00448" w:rsidRDefault="007C3388" w:rsidP="00C00448">
            <w:pPr>
              <w:rPr>
                <w:rFonts w:ascii="Arial" w:hAnsi="Arial" w:cs="Arial"/>
              </w:rPr>
            </w:pPr>
            <w:r w:rsidRPr="00C00448">
              <w:rPr>
                <w:rFonts w:ascii="Arial" w:hAnsi="Arial" w:cs="Arial"/>
                <w:sz w:val="22"/>
                <w:szCs w:val="22"/>
              </w:rPr>
              <w:t xml:space="preserve">L’équation d’une réaction nucléaire stellaire étant fournie, reconnaître si celle-ci relève d’une fusion ou d’une fission. </w:t>
            </w:r>
          </w:p>
        </w:tc>
        <w:tc>
          <w:tcPr>
            <w:tcW w:w="2693" w:type="dxa"/>
            <w:vMerge w:val="restart"/>
            <w:shd w:val="clear" w:color="auto" w:fill="BDD6EE" w:themeFill="accent5" w:themeFillTint="66"/>
          </w:tcPr>
          <w:p w14:paraId="0120CC10" w14:textId="77777777" w:rsidR="007C3388" w:rsidRPr="0076705D" w:rsidRDefault="007C3388" w:rsidP="00C00448">
            <w:pPr>
              <w:rPr>
                <w:rFonts w:ascii="Cambria" w:hAnsi="Cambria"/>
                <w:b/>
              </w:rPr>
            </w:pPr>
            <w:r w:rsidRPr="0076705D">
              <w:rPr>
                <w:rFonts w:ascii="Cambria" w:hAnsi="Cambria"/>
                <w:b/>
              </w:rPr>
              <w:t>Physique-chimie :</w:t>
            </w:r>
          </w:p>
          <w:p w14:paraId="16E42D74" w14:textId="77777777" w:rsidR="007C3388" w:rsidRPr="0076705D" w:rsidRDefault="007C3388" w:rsidP="00377193">
            <w:pPr>
              <w:pStyle w:val="Default"/>
              <w:rPr>
                <w:rFonts w:ascii="Cambria" w:hAnsi="Cambria"/>
                <w:sz w:val="22"/>
                <w:szCs w:val="22"/>
              </w:rPr>
            </w:pPr>
            <w:r w:rsidRPr="0076705D">
              <w:rPr>
                <w:rFonts w:ascii="Cambria" w:hAnsi="Cambria"/>
                <w:sz w:val="22"/>
                <w:szCs w:val="22"/>
              </w:rPr>
              <w:t xml:space="preserve">Relier l’énergie convertie dans le Soleil et dans une centrale nucléaire à des réactions nucléaires. </w:t>
            </w:r>
          </w:p>
          <w:p w14:paraId="64D08EB6" w14:textId="77777777" w:rsidR="007C3388" w:rsidRDefault="007C3388" w:rsidP="00377193">
            <w:pPr>
              <w:pStyle w:val="Default"/>
              <w:rPr>
                <w:rFonts w:ascii="Cambria" w:hAnsi="Cambria"/>
                <w:sz w:val="22"/>
                <w:szCs w:val="22"/>
              </w:rPr>
            </w:pPr>
          </w:p>
          <w:p w14:paraId="6B6D8EC2" w14:textId="650AA7B4" w:rsidR="007C3388" w:rsidRPr="0076705D" w:rsidRDefault="007C3388" w:rsidP="00377193">
            <w:pPr>
              <w:pStyle w:val="Default"/>
              <w:rPr>
                <w:rFonts w:ascii="Cambria" w:hAnsi="Cambria"/>
                <w:sz w:val="22"/>
                <w:szCs w:val="22"/>
              </w:rPr>
            </w:pPr>
            <w:r w:rsidRPr="0076705D">
              <w:rPr>
                <w:rFonts w:ascii="Cambria" w:hAnsi="Cambria"/>
                <w:sz w:val="22"/>
                <w:szCs w:val="22"/>
              </w:rPr>
              <w:t xml:space="preserve">Élément chimique. </w:t>
            </w:r>
          </w:p>
          <w:p w14:paraId="7B66C0E3" w14:textId="77777777" w:rsidR="007C3388" w:rsidRPr="0076705D" w:rsidRDefault="007C3388" w:rsidP="00C00448">
            <w:pPr>
              <w:rPr>
                <w:rFonts w:ascii="Cambria" w:hAnsi="Cambria"/>
                <w:b/>
              </w:rPr>
            </w:pPr>
          </w:p>
          <w:p w14:paraId="7E097C81" w14:textId="77777777" w:rsidR="007C3388" w:rsidRPr="0076705D" w:rsidRDefault="007C3388" w:rsidP="00247AF1">
            <w:pPr>
              <w:pStyle w:val="Default"/>
              <w:rPr>
                <w:rFonts w:ascii="Cambria" w:hAnsi="Cambria"/>
                <w:sz w:val="22"/>
                <w:szCs w:val="22"/>
              </w:rPr>
            </w:pPr>
            <w:r w:rsidRPr="0076705D">
              <w:rPr>
                <w:rFonts w:ascii="Cambria" w:hAnsi="Cambria"/>
                <w:sz w:val="22"/>
                <w:szCs w:val="22"/>
              </w:rPr>
              <w:t xml:space="preserve">Numéro atomique, nombre de masse, écriture conventionnelle : </w:t>
            </w:r>
            <w:r w:rsidRPr="0076705D">
              <w:rPr>
                <w:rFonts w:ascii="Cambria" w:hAnsi="Cambria" w:cs="Cambria Math"/>
                <w:sz w:val="22"/>
                <w:szCs w:val="22"/>
              </w:rPr>
              <w:t>𝑋</w:t>
            </w:r>
            <w:r w:rsidRPr="0076705D">
              <w:rPr>
                <w:rFonts w:ascii="Cambria" w:hAnsi="Cambria" w:cs="Cambria Math"/>
                <w:sz w:val="16"/>
                <w:szCs w:val="16"/>
              </w:rPr>
              <w:t xml:space="preserve">𝑍𝐴 </w:t>
            </w:r>
            <w:r w:rsidRPr="0076705D">
              <w:rPr>
                <w:rFonts w:ascii="Cambria" w:hAnsi="Cambria"/>
                <w:sz w:val="22"/>
                <w:szCs w:val="22"/>
              </w:rPr>
              <w:t xml:space="preserve">ou </w:t>
            </w:r>
            <w:r w:rsidRPr="0076705D">
              <w:rPr>
                <w:rFonts w:ascii="Cambria" w:hAnsi="Cambria" w:cs="Cambria Math"/>
                <w:sz w:val="22"/>
                <w:szCs w:val="22"/>
              </w:rPr>
              <w:t>𝑋</w:t>
            </w:r>
            <w:r w:rsidRPr="0076705D">
              <w:rPr>
                <w:rFonts w:ascii="Cambria" w:hAnsi="Cambria" w:cs="Cambria Math"/>
                <w:sz w:val="16"/>
                <w:szCs w:val="16"/>
              </w:rPr>
              <w:t>𝐴</w:t>
            </w:r>
            <w:r w:rsidRPr="0076705D">
              <w:rPr>
                <w:rFonts w:ascii="Cambria" w:hAnsi="Cambria"/>
                <w:sz w:val="22"/>
                <w:szCs w:val="22"/>
              </w:rPr>
              <w:t xml:space="preserve">. </w:t>
            </w:r>
          </w:p>
          <w:p w14:paraId="2CC0B216" w14:textId="566D20BD" w:rsidR="007C3388" w:rsidRPr="0076705D" w:rsidRDefault="007C3388" w:rsidP="00247AF1">
            <w:pPr>
              <w:pStyle w:val="Default"/>
              <w:rPr>
                <w:rFonts w:ascii="Cambria" w:hAnsi="Cambria"/>
                <w:sz w:val="22"/>
                <w:szCs w:val="22"/>
              </w:rPr>
            </w:pPr>
            <w:r w:rsidRPr="0076705D">
              <w:rPr>
                <w:rFonts w:ascii="Cambria" w:hAnsi="Cambria"/>
                <w:sz w:val="22"/>
                <w:szCs w:val="22"/>
              </w:rPr>
              <w:t xml:space="preserve">Établir l’écriture conventionnelle d’un noyau à partir de sa </w:t>
            </w:r>
            <w:r w:rsidRPr="0076705D">
              <w:rPr>
                <w:rFonts w:ascii="Cambria" w:hAnsi="Cambria"/>
                <w:sz w:val="22"/>
                <w:szCs w:val="22"/>
              </w:rPr>
              <w:lastRenderedPageBreak/>
              <w:t xml:space="preserve">composition et inversement. </w:t>
            </w:r>
          </w:p>
          <w:p w14:paraId="7DB89EAD" w14:textId="76C035AF" w:rsidR="007C3388" w:rsidRPr="0076705D" w:rsidRDefault="007C3388" w:rsidP="0E3BE76E">
            <w:pPr>
              <w:pStyle w:val="Default"/>
              <w:rPr>
                <w:rFonts w:ascii="Cambria" w:hAnsi="Cambria"/>
                <w:sz w:val="22"/>
                <w:szCs w:val="22"/>
              </w:rPr>
            </w:pPr>
          </w:p>
          <w:p w14:paraId="4A302191" w14:textId="33848394" w:rsidR="007C3388" w:rsidRPr="0076705D" w:rsidRDefault="007C3388" w:rsidP="0076705D">
            <w:pPr>
              <w:pStyle w:val="Default"/>
              <w:rPr>
                <w:rFonts w:ascii="Cambria" w:hAnsi="Cambria"/>
                <w:sz w:val="22"/>
                <w:szCs w:val="22"/>
              </w:rPr>
            </w:pPr>
            <w:r w:rsidRPr="0076705D">
              <w:rPr>
                <w:rFonts w:ascii="Cambria" w:hAnsi="Cambria"/>
                <w:sz w:val="22"/>
                <w:szCs w:val="22"/>
              </w:rPr>
              <w:t xml:space="preserve">Écriture symbolique d’une réaction nucléaire. </w:t>
            </w:r>
          </w:p>
          <w:p w14:paraId="430AD2D7" w14:textId="77777777" w:rsidR="007C3388" w:rsidRPr="0076705D" w:rsidRDefault="007C3388" w:rsidP="0076705D">
            <w:pPr>
              <w:pStyle w:val="Default"/>
              <w:rPr>
                <w:rFonts w:ascii="Cambria" w:hAnsi="Cambria"/>
                <w:sz w:val="22"/>
                <w:szCs w:val="22"/>
              </w:rPr>
            </w:pPr>
          </w:p>
          <w:p w14:paraId="39FEB22A" w14:textId="683A6457" w:rsidR="007C3388" w:rsidRPr="0076705D" w:rsidRDefault="007C3388" w:rsidP="0076705D">
            <w:pPr>
              <w:pStyle w:val="Default"/>
              <w:rPr>
                <w:rFonts w:ascii="Cambria" w:hAnsi="Cambria"/>
                <w:sz w:val="22"/>
                <w:szCs w:val="22"/>
              </w:rPr>
            </w:pPr>
            <w:r w:rsidRPr="0076705D">
              <w:rPr>
                <w:rFonts w:ascii="Cambria" w:hAnsi="Cambria"/>
                <w:sz w:val="22"/>
                <w:szCs w:val="22"/>
              </w:rPr>
              <w:t xml:space="preserve">Identifier la nature physique, chimique ou nucléaire d’une transformation à partir de sa description ou d’une écriture symbolique modélisant la transformation. </w:t>
            </w:r>
          </w:p>
          <w:p w14:paraId="75C3DFEA" w14:textId="77777777" w:rsidR="007C3388" w:rsidRPr="0076705D" w:rsidRDefault="007C3388" w:rsidP="00C00448">
            <w:pPr>
              <w:rPr>
                <w:rFonts w:ascii="Cambria" w:hAnsi="Cambria"/>
                <w:b/>
              </w:rPr>
            </w:pPr>
          </w:p>
          <w:p w14:paraId="3E2FFCFC" w14:textId="77777777" w:rsidR="007C3388" w:rsidRPr="0076705D" w:rsidRDefault="0F524A07" w:rsidP="0F524A07">
            <w:pPr>
              <w:pStyle w:val="Default"/>
              <w:rPr>
                <w:rFonts w:ascii="Cambria" w:hAnsi="Cambria"/>
                <w:sz w:val="22"/>
                <w:szCs w:val="22"/>
              </w:rPr>
            </w:pPr>
            <w:r w:rsidRPr="0F524A07">
              <w:rPr>
                <w:rFonts w:ascii="Cambria" w:hAnsi="Cambria"/>
                <w:sz w:val="22"/>
                <w:szCs w:val="22"/>
              </w:rPr>
              <w:t xml:space="preserve">Identifier des isotopes. </w:t>
            </w:r>
          </w:p>
          <w:p w14:paraId="53D38051" w14:textId="1A31F415" w:rsidR="0F524A07" w:rsidRDefault="0F524A07" w:rsidP="0F524A07">
            <w:pPr>
              <w:pStyle w:val="Default"/>
              <w:rPr>
                <w:rFonts w:ascii="Cambria" w:hAnsi="Cambria"/>
                <w:b/>
                <w:bCs/>
                <w:sz w:val="22"/>
                <w:szCs w:val="22"/>
              </w:rPr>
            </w:pPr>
          </w:p>
          <w:p w14:paraId="4BE2972E" w14:textId="0B2CD7C1" w:rsidR="0F524A07" w:rsidRDefault="4FDC3B84" w:rsidP="4FDC3B84">
            <w:pPr>
              <w:pStyle w:val="Default"/>
              <w:rPr>
                <w:rFonts w:ascii="Cambria" w:hAnsi="Cambria"/>
                <w:sz w:val="22"/>
                <w:szCs w:val="22"/>
              </w:rPr>
            </w:pPr>
            <w:r w:rsidRPr="4FDC3B84">
              <w:rPr>
                <w:rFonts w:ascii="Cambria" w:hAnsi="Cambria"/>
                <w:b/>
                <w:bCs/>
                <w:sz w:val="22"/>
                <w:szCs w:val="22"/>
              </w:rPr>
              <w:t xml:space="preserve">Mathématiques : </w:t>
            </w:r>
          </w:p>
          <w:p w14:paraId="0AD1416C" w14:textId="473B5E60" w:rsidR="4FDC3B84" w:rsidRDefault="4FDC3B84" w:rsidP="4FDC3B84">
            <w:pPr>
              <w:pStyle w:val="Default"/>
              <w:rPr>
                <w:rFonts w:ascii="Cambria" w:hAnsi="Cambria"/>
                <w:b/>
                <w:bCs/>
                <w:sz w:val="22"/>
                <w:szCs w:val="22"/>
              </w:rPr>
            </w:pPr>
            <w:r w:rsidRPr="4FDC3B84">
              <w:rPr>
                <w:rFonts w:ascii="Cambria" w:hAnsi="Cambria"/>
                <w:sz w:val="22"/>
                <w:szCs w:val="22"/>
              </w:rPr>
              <w:t>Lecture graphique de fonctions (demi-vie obtenue comme antécédent de la courbe de la fonction de désintégration de la demi-masse).</w:t>
            </w:r>
          </w:p>
          <w:p w14:paraId="036979F5" w14:textId="2DE30E9F" w:rsidR="4FDC3B84" w:rsidRDefault="3B1F6B6C" w:rsidP="3B1F6B6C">
            <w:pPr>
              <w:pStyle w:val="Default"/>
              <w:rPr>
                <w:rFonts w:ascii="Cambria" w:hAnsi="Cambria"/>
                <w:sz w:val="22"/>
                <w:szCs w:val="22"/>
              </w:rPr>
            </w:pPr>
            <w:r w:rsidRPr="3B1F6B6C">
              <w:rPr>
                <w:rFonts w:ascii="Cambria" w:hAnsi="Cambria"/>
                <w:sz w:val="22"/>
                <w:szCs w:val="22"/>
              </w:rPr>
              <w:t>Pourcentages et proportionnalité (pourcentage d’évolution, calcul d’une quatrième proportionnelle).</w:t>
            </w:r>
          </w:p>
          <w:p w14:paraId="330009E4" w14:textId="187928F6" w:rsidR="3B1F6B6C" w:rsidRDefault="78E7FC1E" w:rsidP="3B1F6B6C">
            <w:pPr>
              <w:pStyle w:val="Default"/>
              <w:rPr>
                <w:rFonts w:ascii="Cambria" w:hAnsi="Cambria"/>
                <w:sz w:val="22"/>
                <w:szCs w:val="22"/>
              </w:rPr>
            </w:pPr>
            <w:r w:rsidRPr="78E7FC1E">
              <w:rPr>
                <w:rFonts w:ascii="Cambria" w:hAnsi="Cambria"/>
                <w:sz w:val="22"/>
                <w:szCs w:val="22"/>
              </w:rPr>
              <w:t>Phénomènes aléatoires (expérience aléatoire, modélisation et interprétation du modèle, loi des grands nombres).</w:t>
            </w:r>
          </w:p>
          <w:p w14:paraId="0C0AA1A2" w14:textId="56EE37B3" w:rsidR="4FDC3B84" w:rsidRDefault="4FDC3B84" w:rsidP="4FDC3B84">
            <w:pPr>
              <w:pStyle w:val="Default"/>
              <w:rPr>
                <w:rFonts w:ascii="Cambria" w:hAnsi="Cambria"/>
                <w:i/>
                <w:iCs/>
                <w:sz w:val="22"/>
                <w:szCs w:val="22"/>
              </w:rPr>
            </w:pPr>
          </w:p>
          <w:p w14:paraId="31FBEC75" w14:textId="334E3447" w:rsidR="4FDC3B84" w:rsidRDefault="4FDC3B84" w:rsidP="4FDC3B84">
            <w:pPr>
              <w:pStyle w:val="Default"/>
              <w:rPr>
                <w:rFonts w:ascii="Cambria" w:hAnsi="Cambria"/>
                <w:sz w:val="22"/>
                <w:szCs w:val="22"/>
              </w:rPr>
            </w:pPr>
            <w:r w:rsidRPr="4FDC3B84">
              <w:rPr>
                <w:rFonts w:ascii="Cambria" w:hAnsi="Cambria"/>
                <w:i/>
                <w:iCs/>
                <w:sz w:val="22"/>
                <w:szCs w:val="22"/>
              </w:rPr>
              <w:t>Utilisation du tableur</w:t>
            </w:r>
            <w:r w:rsidRPr="4FDC3B84">
              <w:rPr>
                <w:rFonts w:ascii="Cambria" w:hAnsi="Cambria"/>
                <w:sz w:val="22"/>
                <w:szCs w:val="22"/>
              </w:rPr>
              <w:t xml:space="preserve"> </w:t>
            </w:r>
          </w:p>
          <w:p w14:paraId="3EF5B3F3" w14:textId="0DEFE168" w:rsidR="4FDC3B84" w:rsidRDefault="4FDC3B84" w:rsidP="4FDC3B84">
            <w:pPr>
              <w:pStyle w:val="Default"/>
              <w:rPr>
                <w:rFonts w:ascii="Cambria" w:hAnsi="Cambria"/>
                <w:i/>
                <w:iCs/>
                <w:sz w:val="22"/>
                <w:szCs w:val="22"/>
              </w:rPr>
            </w:pPr>
            <w:r w:rsidRPr="4FDC3B84">
              <w:rPr>
                <w:rFonts w:ascii="Cambria" w:hAnsi="Cambria"/>
                <w:i/>
                <w:iCs/>
                <w:sz w:val="22"/>
                <w:szCs w:val="22"/>
              </w:rPr>
              <w:t>Programmation Python</w:t>
            </w:r>
          </w:p>
          <w:p w14:paraId="4E6E9946" w14:textId="7A511958" w:rsidR="0F524A07" w:rsidRDefault="4FDC3B84" w:rsidP="4FDC3B84">
            <w:pPr>
              <w:pStyle w:val="Default"/>
              <w:rPr>
                <w:rFonts w:ascii="Cambria" w:hAnsi="Cambria"/>
                <w:b/>
                <w:bCs/>
                <w:i/>
                <w:iCs/>
                <w:sz w:val="22"/>
                <w:szCs w:val="22"/>
              </w:rPr>
            </w:pPr>
            <w:r w:rsidRPr="4FDC3B84">
              <w:rPr>
                <w:rFonts w:ascii="Cambria" w:hAnsi="Cambria"/>
                <w:i/>
                <w:iCs/>
                <w:sz w:val="22"/>
                <w:szCs w:val="22"/>
              </w:rPr>
              <w:t>Logiciel de géométrie dynamique</w:t>
            </w:r>
          </w:p>
          <w:p w14:paraId="0AC1C4D1" w14:textId="3002C81D" w:rsidR="007C3388" w:rsidRPr="0076705D" w:rsidRDefault="007C3388" w:rsidP="00C00448">
            <w:pPr>
              <w:rPr>
                <w:rFonts w:ascii="Cambria" w:hAnsi="Cambria"/>
                <w:b/>
              </w:rPr>
            </w:pPr>
          </w:p>
        </w:tc>
        <w:tc>
          <w:tcPr>
            <w:tcW w:w="2553" w:type="dxa"/>
            <w:vMerge w:val="restart"/>
          </w:tcPr>
          <w:p w14:paraId="4A8CA691" w14:textId="77777777" w:rsidR="007C3388" w:rsidRPr="0076705D" w:rsidRDefault="007C3388" w:rsidP="00C00448">
            <w:pPr>
              <w:rPr>
                <w:rFonts w:ascii="Cambria" w:hAnsi="Cambria"/>
              </w:rPr>
            </w:pPr>
            <w:r w:rsidRPr="0076705D">
              <w:rPr>
                <w:rFonts w:ascii="Cambria" w:hAnsi="Cambria"/>
              </w:rPr>
              <w:lastRenderedPageBreak/>
              <w:t xml:space="preserve">Parmi les </w:t>
            </w:r>
            <w:r>
              <w:rPr>
                <w:rFonts w:ascii="Cambria" w:hAnsi="Cambria"/>
              </w:rPr>
              <w:t xml:space="preserve">différentes </w:t>
            </w:r>
            <w:r w:rsidRPr="0076705D">
              <w:rPr>
                <w:rFonts w:ascii="Cambria" w:hAnsi="Cambria"/>
              </w:rPr>
              <w:t>réactions nucléaires on apprend à reconnaître celles relevant de la fusion nucléaire et celles relevant de la fusion nucléaire.</w:t>
            </w:r>
          </w:p>
          <w:p w14:paraId="10DEEE82" w14:textId="77777777" w:rsidR="007C3388" w:rsidRPr="00A6727E" w:rsidRDefault="007C3388" w:rsidP="00A6727E">
            <w:pPr>
              <w:jc w:val="both"/>
              <w:rPr>
                <w:rFonts w:ascii="Cambria" w:hAnsi="Cambria"/>
              </w:rPr>
            </w:pPr>
            <w:r w:rsidRPr="00A6727E">
              <w:rPr>
                <w:rFonts w:ascii="Cambria" w:hAnsi="Cambria"/>
              </w:rPr>
              <w:t>On aborde la notion de désintégration de noyaux instables et son caractère aléatoire</w:t>
            </w:r>
            <w:r>
              <w:rPr>
                <w:rFonts w:ascii="Cambria" w:hAnsi="Cambria"/>
              </w:rPr>
              <w:t xml:space="preserve"> (radioactivité spontanée).</w:t>
            </w:r>
          </w:p>
          <w:p w14:paraId="53709EEF" w14:textId="77777777" w:rsidR="007C3388" w:rsidRPr="00A6727E" w:rsidRDefault="007C3388" w:rsidP="00A6727E">
            <w:pPr>
              <w:jc w:val="both"/>
              <w:rPr>
                <w:rFonts w:ascii="Cambria" w:hAnsi="Cambria"/>
              </w:rPr>
            </w:pPr>
          </w:p>
          <w:p w14:paraId="228E0906" w14:textId="5880A0D4" w:rsidR="007C3388" w:rsidRPr="00A6727E" w:rsidRDefault="303B7B1A" w:rsidP="303B7B1A">
            <w:pPr>
              <w:jc w:val="both"/>
              <w:rPr>
                <w:rFonts w:ascii="Cambria" w:hAnsi="Cambria"/>
              </w:rPr>
            </w:pPr>
            <w:r w:rsidRPr="303B7B1A">
              <w:rPr>
                <w:rFonts w:ascii="Cambria" w:hAnsi="Cambria"/>
              </w:rPr>
              <w:lastRenderedPageBreak/>
              <w:t>La notion de demi-vie permet d’estimer une durée (entre-autre datation au carbone 14).</w:t>
            </w:r>
          </w:p>
          <w:p w14:paraId="3DFCE89F" w14:textId="77777777" w:rsidR="007C3388" w:rsidRDefault="007C3388" w:rsidP="00C00448">
            <w:pPr>
              <w:rPr>
                <w:rFonts w:ascii="Cambria" w:hAnsi="Cambria"/>
              </w:rPr>
            </w:pPr>
          </w:p>
          <w:p w14:paraId="2A74F381" w14:textId="74166724" w:rsidR="007C3388" w:rsidRPr="00A6727E" w:rsidRDefault="007C3388" w:rsidP="00C00448">
            <w:pPr>
              <w:rPr>
                <w:rFonts w:ascii="Cambria" w:hAnsi="Cambria"/>
              </w:rPr>
            </w:pPr>
            <w:r>
              <w:rPr>
                <w:rFonts w:ascii="Cambria" w:hAnsi="Cambria"/>
              </w:rPr>
              <w:t>S</w:t>
            </w:r>
            <w:r w:rsidR="00E01953">
              <w:rPr>
                <w:rFonts w:ascii="Cambria" w:hAnsi="Cambria"/>
              </w:rPr>
              <w:t>’ils</w:t>
            </w:r>
            <w:r>
              <w:rPr>
                <w:rFonts w:ascii="Cambria" w:hAnsi="Cambria"/>
              </w:rPr>
              <w:t xml:space="preserve"> sont éventuellement utilisés comme support, les différents types de radioactivité n’ont pas à être connues des élèves.</w:t>
            </w:r>
          </w:p>
          <w:p w14:paraId="46A84B76" w14:textId="0681A62C" w:rsidR="007C3388" w:rsidRPr="0076705D" w:rsidRDefault="007C3388" w:rsidP="00C00448">
            <w:pPr>
              <w:rPr>
                <w:rFonts w:ascii="Cambria" w:hAnsi="Cambria"/>
              </w:rPr>
            </w:pPr>
          </w:p>
        </w:tc>
        <w:tc>
          <w:tcPr>
            <w:tcW w:w="2799" w:type="dxa"/>
            <w:vMerge w:val="restart"/>
          </w:tcPr>
          <w:p w14:paraId="011C5A2B" w14:textId="461291CF" w:rsidR="007C3388" w:rsidRPr="00D906D4" w:rsidRDefault="0F524A07" w:rsidP="0F524A07">
            <w:pPr>
              <w:rPr>
                <w:rFonts w:ascii="Cambria" w:hAnsi="Cambria"/>
                <w:b/>
                <w:bCs/>
              </w:rPr>
            </w:pPr>
            <w:r w:rsidRPr="0F524A07">
              <w:rPr>
                <w:rFonts w:ascii="Cambria" w:hAnsi="Cambria"/>
                <w:b/>
                <w:bCs/>
              </w:rPr>
              <w:lastRenderedPageBreak/>
              <w:t xml:space="preserve">Mathématiques : </w:t>
            </w:r>
          </w:p>
          <w:p w14:paraId="34C5BFBA" w14:textId="76FAAA69" w:rsidR="007C3388" w:rsidRPr="00D906D4" w:rsidRDefault="0F524A07" w:rsidP="0F524A07">
            <w:pPr>
              <w:rPr>
                <w:rFonts w:ascii="Cambria" w:hAnsi="Cambria"/>
                <w:b/>
                <w:bCs/>
              </w:rPr>
            </w:pPr>
            <w:r w:rsidRPr="0F524A07">
              <w:rPr>
                <w:rFonts w:ascii="Cambria" w:hAnsi="Cambria"/>
              </w:rPr>
              <w:t>Construction de la fonction exponentielle</w:t>
            </w:r>
          </w:p>
          <w:p w14:paraId="3682E537" w14:textId="2F14E517" w:rsidR="007C3388" w:rsidRPr="00D906D4" w:rsidRDefault="0F524A07" w:rsidP="0F524A07">
            <w:pPr>
              <w:rPr>
                <w:rFonts w:ascii="Cambria" w:hAnsi="Cambria"/>
              </w:rPr>
            </w:pPr>
            <w:r w:rsidRPr="0F524A07">
              <w:rPr>
                <w:rFonts w:ascii="Cambria" w:hAnsi="Cambria"/>
              </w:rPr>
              <w:t>Relation entre fonction et fonction dérivée.</w:t>
            </w:r>
          </w:p>
          <w:p w14:paraId="05C1619E" w14:textId="4CC8A167" w:rsidR="007C3388" w:rsidRPr="00D906D4" w:rsidRDefault="4FDC3B84" w:rsidP="0F524A07">
            <w:pPr>
              <w:rPr>
                <w:rFonts w:ascii="Cambria" w:hAnsi="Cambria"/>
              </w:rPr>
            </w:pPr>
            <w:r w:rsidRPr="4FDC3B84">
              <w:rPr>
                <w:rFonts w:ascii="Cambria" w:hAnsi="Cambria"/>
              </w:rPr>
              <w:t>Suites géométriques</w:t>
            </w:r>
          </w:p>
          <w:p w14:paraId="15013B66" w14:textId="334E3447" w:rsidR="007C3388" w:rsidRPr="00D906D4" w:rsidRDefault="4FDC3B84" w:rsidP="4FDC3B84">
            <w:pPr>
              <w:pStyle w:val="Default"/>
              <w:rPr>
                <w:rFonts w:ascii="Cambria" w:hAnsi="Cambria"/>
                <w:sz w:val="22"/>
                <w:szCs w:val="22"/>
              </w:rPr>
            </w:pPr>
            <w:r w:rsidRPr="4FDC3B84">
              <w:rPr>
                <w:rFonts w:ascii="Cambria" w:hAnsi="Cambria"/>
                <w:i/>
                <w:iCs/>
                <w:sz w:val="22"/>
                <w:szCs w:val="22"/>
              </w:rPr>
              <w:t>Utilisation du tableur</w:t>
            </w:r>
            <w:r w:rsidRPr="4FDC3B84">
              <w:rPr>
                <w:rFonts w:ascii="Cambria" w:hAnsi="Cambria"/>
                <w:sz w:val="22"/>
                <w:szCs w:val="22"/>
              </w:rPr>
              <w:t xml:space="preserve"> </w:t>
            </w:r>
          </w:p>
          <w:p w14:paraId="1894643B" w14:textId="0DEFE168" w:rsidR="007C3388" w:rsidRPr="00D906D4" w:rsidRDefault="4FDC3B84" w:rsidP="4FDC3B84">
            <w:pPr>
              <w:pStyle w:val="Default"/>
              <w:rPr>
                <w:rFonts w:ascii="Cambria" w:hAnsi="Cambria"/>
                <w:i/>
                <w:iCs/>
                <w:sz w:val="22"/>
                <w:szCs w:val="22"/>
              </w:rPr>
            </w:pPr>
            <w:r w:rsidRPr="4FDC3B84">
              <w:rPr>
                <w:rFonts w:ascii="Cambria" w:hAnsi="Cambria"/>
                <w:i/>
                <w:iCs/>
                <w:sz w:val="22"/>
                <w:szCs w:val="22"/>
              </w:rPr>
              <w:t>Programmation Python</w:t>
            </w:r>
          </w:p>
          <w:p w14:paraId="495D6EEA" w14:textId="7A511958" w:rsidR="007C3388" w:rsidRPr="00D906D4" w:rsidRDefault="4FDC3B84" w:rsidP="4FDC3B84">
            <w:pPr>
              <w:pStyle w:val="Default"/>
              <w:rPr>
                <w:rFonts w:ascii="Cambria" w:hAnsi="Cambria"/>
                <w:b/>
                <w:bCs/>
                <w:i/>
                <w:iCs/>
                <w:sz w:val="22"/>
                <w:szCs w:val="22"/>
              </w:rPr>
            </w:pPr>
            <w:r w:rsidRPr="4FDC3B84">
              <w:rPr>
                <w:rFonts w:ascii="Cambria" w:hAnsi="Cambria"/>
                <w:i/>
                <w:iCs/>
                <w:sz w:val="22"/>
                <w:szCs w:val="22"/>
              </w:rPr>
              <w:t>Logiciel de géométrie dynamique</w:t>
            </w:r>
          </w:p>
          <w:p w14:paraId="4163B6EC" w14:textId="330B7105" w:rsidR="007C3388" w:rsidRPr="00D906D4" w:rsidRDefault="007C3388" w:rsidP="4FDC3B84">
            <w:pPr>
              <w:rPr>
                <w:rFonts w:ascii="Cambria" w:hAnsi="Cambria"/>
              </w:rPr>
            </w:pPr>
          </w:p>
        </w:tc>
      </w:tr>
      <w:tr w:rsidR="007C3388" w14:paraId="2B891B7B" w14:textId="77777777" w:rsidTr="303B7B1A">
        <w:tc>
          <w:tcPr>
            <w:tcW w:w="3370" w:type="dxa"/>
          </w:tcPr>
          <w:p w14:paraId="1BE7438B" w14:textId="77777777" w:rsidR="007C3388" w:rsidRPr="00C00448" w:rsidRDefault="007C3388" w:rsidP="00C00448">
            <w:pPr>
              <w:pStyle w:val="Default"/>
              <w:rPr>
                <w:sz w:val="22"/>
                <w:szCs w:val="22"/>
              </w:rPr>
            </w:pPr>
            <w:r w:rsidRPr="00C00448">
              <w:rPr>
                <w:sz w:val="22"/>
                <w:szCs w:val="22"/>
              </w:rPr>
              <w:t xml:space="preserve">Certains noyaux sont instables et se désintègrent (radioactivité). </w:t>
            </w:r>
          </w:p>
          <w:p w14:paraId="1216E545" w14:textId="77777777" w:rsidR="007C3388" w:rsidRPr="00C00448" w:rsidRDefault="007C3388" w:rsidP="00C00448">
            <w:pPr>
              <w:pStyle w:val="Default"/>
              <w:rPr>
                <w:sz w:val="22"/>
                <w:szCs w:val="22"/>
              </w:rPr>
            </w:pPr>
            <w:r w:rsidRPr="00C00448">
              <w:rPr>
                <w:sz w:val="22"/>
                <w:szCs w:val="22"/>
              </w:rPr>
              <w:lastRenderedPageBreak/>
              <w:t xml:space="preserve">L’instant de désintégration d’un noyau radioactif individuel est aléatoire. </w:t>
            </w:r>
          </w:p>
          <w:p w14:paraId="13663D45" w14:textId="77777777" w:rsidR="007C3388" w:rsidRPr="00C00448" w:rsidRDefault="007C3388" w:rsidP="00C00448">
            <w:pPr>
              <w:pStyle w:val="Default"/>
              <w:rPr>
                <w:sz w:val="22"/>
                <w:szCs w:val="22"/>
              </w:rPr>
            </w:pPr>
            <w:r w:rsidRPr="00C00448">
              <w:rPr>
                <w:sz w:val="22"/>
                <w:szCs w:val="22"/>
              </w:rPr>
              <w:t xml:space="preserve">La demi-vie d’un noyau radioactif est la durée nécessaire pour que la moitié des noyaux initialement présents dans un échantillon macroscopique se soit désintégrée. </w:t>
            </w:r>
          </w:p>
          <w:p w14:paraId="630B537A" w14:textId="54493231" w:rsidR="007C3388" w:rsidRPr="00C00448" w:rsidRDefault="007C3388" w:rsidP="00C00448">
            <w:pPr>
              <w:rPr>
                <w:rFonts w:ascii="Arial" w:hAnsi="Arial" w:cs="Arial"/>
              </w:rPr>
            </w:pPr>
            <w:r w:rsidRPr="00C00448">
              <w:rPr>
                <w:rFonts w:ascii="Arial" w:hAnsi="Arial" w:cs="Arial"/>
                <w:sz w:val="22"/>
                <w:szCs w:val="22"/>
              </w:rPr>
              <w:t xml:space="preserve">Cette demi-vie est caractéristique du noyau radioactif. </w:t>
            </w:r>
          </w:p>
        </w:tc>
        <w:tc>
          <w:tcPr>
            <w:tcW w:w="3151" w:type="dxa"/>
          </w:tcPr>
          <w:p w14:paraId="17176F80" w14:textId="77777777" w:rsidR="007C3388" w:rsidRPr="00C00448" w:rsidRDefault="007C3388" w:rsidP="00C00448">
            <w:pPr>
              <w:pStyle w:val="Default"/>
              <w:rPr>
                <w:sz w:val="22"/>
                <w:szCs w:val="22"/>
              </w:rPr>
            </w:pPr>
            <w:r w:rsidRPr="00C00448">
              <w:rPr>
                <w:sz w:val="22"/>
                <w:szCs w:val="22"/>
              </w:rPr>
              <w:lastRenderedPageBreak/>
              <w:t xml:space="preserve">Calculer le nombre de noyaux restants au bout de n demi-vies </w:t>
            </w:r>
          </w:p>
          <w:p w14:paraId="791D31FA" w14:textId="77777777" w:rsidR="007C3388" w:rsidRPr="00C00448" w:rsidRDefault="007C3388" w:rsidP="00C00448">
            <w:pPr>
              <w:pStyle w:val="Default"/>
              <w:rPr>
                <w:sz w:val="22"/>
                <w:szCs w:val="22"/>
              </w:rPr>
            </w:pPr>
            <w:r w:rsidRPr="00C00448">
              <w:rPr>
                <w:sz w:val="22"/>
                <w:szCs w:val="22"/>
              </w:rPr>
              <w:lastRenderedPageBreak/>
              <w:t xml:space="preserve">Estimer la durée nécessaire pour obtenir une certaine proportion de noyaux restants. </w:t>
            </w:r>
          </w:p>
          <w:p w14:paraId="701331AA" w14:textId="77777777" w:rsidR="007C3388" w:rsidRPr="00C00448" w:rsidRDefault="007C3388" w:rsidP="00C00448">
            <w:pPr>
              <w:pStyle w:val="Default"/>
              <w:rPr>
                <w:sz w:val="22"/>
                <w:szCs w:val="22"/>
              </w:rPr>
            </w:pPr>
            <w:r w:rsidRPr="00C00448">
              <w:rPr>
                <w:sz w:val="22"/>
                <w:szCs w:val="22"/>
              </w:rPr>
              <w:t xml:space="preserve">Utiliser une représentation graphique pour déterminer une demi-vie. </w:t>
            </w:r>
          </w:p>
          <w:p w14:paraId="448E5CB7" w14:textId="2B652BB0" w:rsidR="007C3388" w:rsidRPr="00C00448" w:rsidRDefault="007C3388" w:rsidP="00C00448">
            <w:pPr>
              <w:rPr>
                <w:rFonts w:ascii="Arial" w:hAnsi="Arial" w:cs="Arial"/>
              </w:rPr>
            </w:pPr>
            <w:r w:rsidRPr="00C00448">
              <w:rPr>
                <w:rFonts w:ascii="Arial" w:hAnsi="Arial" w:cs="Arial"/>
                <w:sz w:val="22"/>
                <w:szCs w:val="22"/>
              </w:rPr>
              <w:t xml:space="preserve">Utiliser une décroissance radioactive pour une datation (exemple du carbone 14). </w:t>
            </w:r>
          </w:p>
        </w:tc>
        <w:tc>
          <w:tcPr>
            <w:tcW w:w="2693" w:type="dxa"/>
            <w:vMerge/>
          </w:tcPr>
          <w:p w14:paraId="2487B9D0" w14:textId="77777777" w:rsidR="007C3388" w:rsidRPr="0076705D" w:rsidRDefault="007C3388" w:rsidP="00C00448">
            <w:pPr>
              <w:rPr>
                <w:rFonts w:ascii="Cambria" w:hAnsi="Cambria"/>
              </w:rPr>
            </w:pPr>
          </w:p>
        </w:tc>
        <w:tc>
          <w:tcPr>
            <w:tcW w:w="2553" w:type="dxa"/>
            <w:vMerge/>
          </w:tcPr>
          <w:p w14:paraId="05F03888" w14:textId="5DF82420" w:rsidR="007C3388" w:rsidRDefault="007C3388" w:rsidP="00C00448"/>
        </w:tc>
        <w:tc>
          <w:tcPr>
            <w:tcW w:w="2799" w:type="dxa"/>
            <w:vMerge/>
          </w:tcPr>
          <w:p w14:paraId="6BB57652" w14:textId="77777777" w:rsidR="007C3388" w:rsidRDefault="007C3388" w:rsidP="00C00448"/>
        </w:tc>
      </w:tr>
      <w:tr w:rsidR="00C00448" w14:paraId="2182FD4B" w14:textId="77777777" w:rsidTr="303B7B1A">
        <w:tc>
          <w:tcPr>
            <w:tcW w:w="14566" w:type="dxa"/>
            <w:gridSpan w:val="5"/>
          </w:tcPr>
          <w:p w14:paraId="0E0EFCCB" w14:textId="77777777" w:rsidR="00C00448" w:rsidRDefault="0E3BE76E" w:rsidP="0E3BE76E">
            <w:pPr>
              <w:pStyle w:val="Default"/>
              <w:rPr>
                <w:sz w:val="22"/>
                <w:szCs w:val="22"/>
                <w:highlight w:val="cyan"/>
              </w:rPr>
            </w:pPr>
            <w:r w:rsidRPr="0E3BE76E">
              <w:rPr>
                <w:b/>
                <w:bCs/>
                <w:sz w:val="22"/>
                <w:szCs w:val="22"/>
              </w:rPr>
              <w:lastRenderedPageBreak/>
              <w:t xml:space="preserve">Prérequis et limites </w:t>
            </w:r>
          </w:p>
          <w:p w14:paraId="7004C30C" w14:textId="77777777" w:rsidR="00C00448" w:rsidRPr="0076705D" w:rsidRDefault="0E3BE76E" w:rsidP="0E3BE76E">
            <w:pPr>
              <w:pStyle w:val="Default"/>
              <w:rPr>
                <w:b/>
                <w:bCs/>
                <w:color w:val="002060"/>
                <w:sz w:val="22"/>
                <w:szCs w:val="22"/>
              </w:rPr>
            </w:pPr>
            <w:r w:rsidRPr="0E3BE76E">
              <w:rPr>
                <w:sz w:val="22"/>
                <w:szCs w:val="22"/>
              </w:rPr>
              <w:t xml:space="preserve">Les notions, déjà connues, de noyaux, d’atome, d’élément chimique et de réaction nucléaire sont remobilisées. </w:t>
            </w:r>
            <w:r w:rsidRPr="0E3BE76E">
              <w:rPr>
                <w:b/>
                <w:bCs/>
                <w:color w:val="002060"/>
                <w:sz w:val="22"/>
                <w:szCs w:val="22"/>
              </w:rPr>
              <w:t xml:space="preserve">Aucune connaissance n’est exigible sur les différents types de radioactivité. </w:t>
            </w:r>
          </w:p>
          <w:p w14:paraId="01BB9242" w14:textId="77777777" w:rsidR="00C00448" w:rsidRPr="0076705D" w:rsidRDefault="00C00448" w:rsidP="00C00448">
            <w:pPr>
              <w:pStyle w:val="Default"/>
              <w:rPr>
                <w:b/>
                <w:sz w:val="22"/>
                <w:szCs w:val="22"/>
              </w:rPr>
            </w:pPr>
            <w:r>
              <w:rPr>
                <w:sz w:val="22"/>
                <w:szCs w:val="22"/>
              </w:rPr>
              <w:t xml:space="preserve">L’évolution du nombre moyen de noyaux restants au cours d’une désintégration radioactive se limite au cas de durées discrètes, multiples entiers de la demi-vie. </w:t>
            </w:r>
            <w:r w:rsidRPr="0076705D">
              <w:rPr>
                <w:b/>
                <w:color w:val="002060"/>
                <w:sz w:val="22"/>
                <w:szCs w:val="22"/>
              </w:rPr>
              <w:t xml:space="preserve">Aucun formalisme sur la notion de suite n’est exigible. </w:t>
            </w:r>
          </w:p>
          <w:p w14:paraId="6666E4A4" w14:textId="77777777" w:rsidR="00C00448" w:rsidRPr="0076705D" w:rsidRDefault="00C00448" w:rsidP="00C00448">
            <w:pPr>
              <w:rPr>
                <w:rFonts w:ascii="Arial" w:hAnsi="Arial" w:cs="Arial"/>
                <w:b/>
                <w:color w:val="002060"/>
                <w:sz w:val="22"/>
                <w:szCs w:val="22"/>
              </w:rPr>
            </w:pPr>
            <w:r w:rsidRPr="0076705D">
              <w:rPr>
                <w:rFonts w:ascii="Arial" w:hAnsi="Arial" w:cs="Arial"/>
                <w:b/>
                <w:color w:val="002060"/>
                <w:sz w:val="22"/>
                <w:szCs w:val="22"/>
              </w:rPr>
              <w:t>Les fonctions exponentielle et logarithme ne font pas partie des connaissances attendues.</w:t>
            </w:r>
          </w:p>
          <w:p w14:paraId="39EF0441" w14:textId="0EF68669" w:rsidR="00C00448" w:rsidRDefault="00C00448" w:rsidP="00C00448"/>
        </w:tc>
      </w:tr>
      <w:tr w:rsidR="00C00448" w14:paraId="7134483E" w14:textId="77777777" w:rsidTr="303B7B1A">
        <w:tc>
          <w:tcPr>
            <w:tcW w:w="14566" w:type="dxa"/>
            <w:gridSpan w:val="5"/>
          </w:tcPr>
          <w:p w14:paraId="483C162A" w14:textId="4B87F421" w:rsidR="00C00448" w:rsidRDefault="00C00448" w:rsidP="00C00448">
            <w:pPr>
              <w:pStyle w:val="Paragraphedeliste"/>
              <w:numPr>
                <w:ilvl w:val="1"/>
                <w:numId w:val="2"/>
              </w:numPr>
              <w:spacing w:before="72"/>
              <w:rPr>
                <w:rFonts w:ascii="Arial" w:hAnsi="Arial" w:cs="Arial"/>
                <w:b/>
                <w:bCs/>
                <w:color w:val="17818E"/>
                <w:spacing w:val="-4"/>
                <w:w w:val="105"/>
                <w:sz w:val="22"/>
                <w:szCs w:val="22"/>
              </w:rPr>
            </w:pPr>
            <w:r w:rsidRPr="00C00448">
              <w:rPr>
                <w:rFonts w:ascii="Arial" w:hAnsi="Arial" w:cs="Arial"/>
                <w:b/>
                <w:bCs/>
                <w:color w:val="17818E"/>
                <w:spacing w:val="-4"/>
                <w:w w:val="105"/>
                <w:sz w:val="22"/>
                <w:szCs w:val="22"/>
              </w:rPr>
              <w:t xml:space="preserve">– </w:t>
            </w:r>
            <w:r>
              <w:rPr>
                <w:rFonts w:ascii="Arial" w:hAnsi="Arial" w:cs="Arial"/>
                <w:b/>
                <w:bCs/>
                <w:color w:val="17818E"/>
                <w:spacing w:val="-4"/>
                <w:w w:val="105"/>
                <w:sz w:val="22"/>
                <w:szCs w:val="22"/>
              </w:rPr>
              <w:t>Des édifices ordonnés : les cristaux</w:t>
            </w:r>
          </w:p>
          <w:p w14:paraId="3582AD04" w14:textId="7CCAF407" w:rsidR="00C00448" w:rsidRPr="00C00448" w:rsidRDefault="00C00448" w:rsidP="00C00448">
            <w:pPr>
              <w:pStyle w:val="Default"/>
              <w:rPr>
                <w:sz w:val="22"/>
                <w:szCs w:val="22"/>
              </w:rPr>
            </w:pPr>
            <w:r>
              <w:rPr>
                <w:sz w:val="22"/>
                <w:szCs w:val="22"/>
              </w:rPr>
              <w:t xml:space="preserve">L’organisation moléculaire étant déjà connue, ce thème aborde une autre forme d’organisation de la matière : l’état cristallin (qui revêt une importance majeure, tant pour la connaissance de la nature - minéraux et roches, squelettes, etc. - que pour ses applications techniques). La compréhension de cette organisation au travers des exemples choisis mobilise des connaissances sur la géométrie du cube. Elle fournit l’occasion de développer des compétences de représentation dans l’espace et de calculs de volumes. </w:t>
            </w:r>
          </w:p>
        </w:tc>
      </w:tr>
      <w:tr w:rsidR="00C00448" w14:paraId="33C4A6C8" w14:textId="77777777" w:rsidTr="303B7B1A">
        <w:tc>
          <w:tcPr>
            <w:tcW w:w="3370" w:type="dxa"/>
            <w:vAlign w:val="center"/>
          </w:tcPr>
          <w:p w14:paraId="1A149D53" w14:textId="7AF3819F" w:rsidR="00C00448" w:rsidRPr="00C00448" w:rsidRDefault="00C00448" w:rsidP="00C00448">
            <w:pPr>
              <w:pStyle w:val="Default"/>
              <w:rPr>
                <w:sz w:val="22"/>
                <w:szCs w:val="22"/>
              </w:rPr>
            </w:pPr>
            <w:bookmarkStart w:id="2" w:name="_Hlk6927149"/>
            <w:r>
              <w:rPr>
                <w:b/>
                <w:bCs/>
                <w:sz w:val="22"/>
                <w:szCs w:val="22"/>
              </w:rPr>
              <w:t>Savoirs</w:t>
            </w:r>
          </w:p>
        </w:tc>
        <w:tc>
          <w:tcPr>
            <w:tcW w:w="3151" w:type="dxa"/>
            <w:vAlign w:val="center"/>
          </w:tcPr>
          <w:p w14:paraId="23E44249" w14:textId="6AC0B528" w:rsidR="00C00448" w:rsidRPr="00C00448" w:rsidRDefault="00C00448" w:rsidP="00C00448">
            <w:pPr>
              <w:pStyle w:val="Default"/>
              <w:rPr>
                <w:sz w:val="22"/>
                <w:szCs w:val="22"/>
              </w:rPr>
            </w:pPr>
            <w:r>
              <w:rPr>
                <w:b/>
                <w:bCs/>
                <w:sz w:val="22"/>
                <w:szCs w:val="22"/>
              </w:rPr>
              <w:t>Savoir-faire</w:t>
            </w:r>
          </w:p>
        </w:tc>
        <w:tc>
          <w:tcPr>
            <w:tcW w:w="2693" w:type="dxa"/>
            <w:shd w:val="clear" w:color="auto" w:fill="BDD6EE" w:themeFill="accent5" w:themeFillTint="66"/>
          </w:tcPr>
          <w:p w14:paraId="06CFA8CA" w14:textId="0993025A" w:rsidR="00C00448" w:rsidRDefault="00C00448" w:rsidP="00C00448">
            <w:r>
              <w:rPr>
                <w:rFonts w:asciiTheme="minorHAnsi" w:hAnsiTheme="minorHAnsi" w:cstheme="minorHAnsi"/>
                <w:b/>
              </w:rPr>
              <w:t xml:space="preserve">Capacités exigibles de seconde </w:t>
            </w:r>
            <w:proofErr w:type="spellStart"/>
            <w:r w:rsidR="009E745E">
              <w:rPr>
                <w:rFonts w:asciiTheme="minorHAnsi" w:hAnsiTheme="minorHAnsi" w:cstheme="minorHAnsi"/>
                <w:b/>
              </w:rPr>
              <w:t>remobilisables</w:t>
            </w:r>
            <w:proofErr w:type="spellEnd"/>
          </w:p>
        </w:tc>
        <w:tc>
          <w:tcPr>
            <w:tcW w:w="2553" w:type="dxa"/>
          </w:tcPr>
          <w:p w14:paraId="678AFEAF" w14:textId="452475C2" w:rsidR="00C00448" w:rsidRDefault="00C00448" w:rsidP="00C00448">
            <w:r w:rsidRPr="000C5D32">
              <w:rPr>
                <w:rFonts w:asciiTheme="minorHAnsi" w:hAnsiTheme="minorHAnsi" w:cstheme="minorHAnsi"/>
                <w:b/>
              </w:rPr>
              <w:t>Saut</w:t>
            </w:r>
            <w:r w:rsidR="009E745E">
              <w:rPr>
                <w:rFonts w:asciiTheme="minorHAnsi" w:hAnsiTheme="minorHAnsi" w:cstheme="minorHAnsi"/>
                <w:b/>
              </w:rPr>
              <w:t xml:space="preserve">s </w:t>
            </w:r>
            <w:r w:rsidRPr="000C5D32">
              <w:rPr>
                <w:rFonts w:asciiTheme="minorHAnsi" w:hAnsiTheme="minorHAnsi" w:cstheme="minorHAnsi"/>
                <w:b/>
              </w:rPr>
              <w:t>conceptuel</w:t>
            </w:r>
            <w:r w:rsidR="009E745E">
              <w:rPr>
                <w:rFonts w:asciiTheme="minorHAnsi" w:hAnsiTheme="minorHAnsi" w:cstheme="minorHAnsi"/>
                <w:b/>
              </w:rPr>
              <w:t>s</w:t>
            </w:r>
            <w:r w:rsidRPr="000C5D32">
              <w:rPr>
                <w:rFonts w:asciiTheme="minorHAnsi" w:hAnsiTheme="minorHAnsi" w:cstheme="minorHAnsi"/>
                <w:b/>
              </w:rPr>
              <w:t xml:space="preserve"> en première</w:t>
            </w:r>
          </w:p>
        </w:tc>
        <w:tc>
          <w:tcPr>
            <w:tcW w:w="2799" w:type="dxa"/>
          </w:tcPr>
          <w:p w14:paraId="5A596D58" w14:textId="0CBE9DD3" w:rsidR="00C00448" w:rsidRDefault="00C00448" w:rsidP="00C00448">
            <w:r w:rsidRPr="007F4857">
              <w:rPr>
                <w:rFonts w:asciiTheme="minorHAnsi" w:hAnsiTheme="minorHAnsi" w:cstheme="minorHAnsi"/>
                <w:b/>
              </w:rPr>
              <w:t>Liens avec les programmes de spécialité</w:t>
            </w:r>
          </w:p>
        </w:tc>
      </w:tr>
      <w:bookmarkEnd w:id="2"/>
      <w:tr w:rsidR="007C3388" w14:paraId="02442B6B" w14:textId="77777777" w:rsidTr="303B7B1A">
        <w:tc>
          <w:tcPr>
            <w:tcW w:w="3370" w:type="dxa"/>
          </w:tcPr>
          <w:p w14:paraId="716C5089" w14:textId="3E082BEC" w:rsidR="007C3388" w:rsidRPr="00C00448" w:rsidRDefault="007C3388" w:rsidP="000426DA">
            <w:pPr>
              <w:pStyle w:val="Default"/>
              <w:rPr>
                <w:sz w:val="22"/>
                <w:szCs w:val="22"/>
              </w:rPr>
            </w:pPr>
            <w:r>
              <w:rPr>
                <w:sz w:val="22"/>
                <w:szCs w:val="22"/>
              </w:rPr>
              <w:t xml:space="preserve">Le chlorure de sodium solide (présent dans les roches, ou issu de l’évaporation de l’eau de mer) est constitué d’un empilement régulier d’ions : c’est l’état cristallin. </w:t>
            </w:r>
          </w:p>
        </w:tc>
        <w:tc>
          <w:tcPr>
            <w:tcW w:w="3151" w:type="dxa"/>
          </w:tcPr>
          <w:p w14:paraId="5A89D30D" w14:textId="77777777" w:rsidR="007C3388" w:rsidRDefault="007C3388" w:rsidP="00C00448">
            <w:pPr>
              <w:pStyle w:val="Default"/>
              <w:rPr>
                <w:sz w:val="22"/>
                <w:szCs w:val="22"/>
              </w:rPr>
            </w:pPr>
            <w:r>
              <w:rPr>
                <w:sz w:val="22"/>
                <w:szCs w:val="22"/>
              </w:rPr>
              <w:t xml:space="preserve">Utiliser une représentation 3D informatisée du cristal de chlorure de sodium. </w:t>
            </w:r>
          </w:p>
          <w:p w14:paraId="635A8683" w14:textId="74727D26" w:rsidR="007C3388" w:rsidRPr="00C00448" w:rsidRDefault="007C3388" w:rsidP="00C00448">
            <w:pPr>
              <w:pStyle w:val="Default"/>
              <w:rPr>
                <w:sz w:val="22"/>
                <w:szCs w:val="22"/>
              </w:rPr>
            </w:pPr>
            <w:r>
              <w:rPr>
                <w:sz w:val="22"/>
                <w:szCs w:val="22"/>
              </w:rPr>
              <w:t xml:space="preserve">Relier l’organisation de la maille au niveau microscopique à la structure du cristal au niveau macroscopique. </w:t>
            </w:r>
          </w:p>
        </w:tc>
        <w:tc>
          <w:tcPr>
            <w:tcW w:w="2693" w:type="dxa"/>
            <w:vMerge w:val="restart"/>
            <w:shd w:val="clear" w:color="auto" w:fill="BDD6EE" w:themeFill="accent5" w:themeFillTint="66"/>
          </w:tcPr>
          <w:p w14:paraId="27F3741E" w14:textId="3783CE38" w:rsidR="007C3388" w:rsidRPr="003874C1" w:rsidRDefault="007C3388" w:rsidP="000426DA">
            <w:pPr>
              <w:pStyle w:val="Default"/>
              <w:rPr>
                <w:rFonts w:ascii="Cambria" w:hAnsi="Cambria"/>
                <w:sz w:val="22"/>
                <w:szCs w:val="22"/>
              </w:rPr>
            </w:pPr>
            <w:r w:rsidRPr="003874C1">
              <w:rPr>
                <w:rFonts w:ascii="Cambria" w:hAnsi="Cambria"/>
                <w:b/>
                <w:sz w:val="22"/>
                <w:szCs w:val="22"/>
              </w:rPr>
              <w:t>Physique -chimie</w:t>
            </w:r>
            <w:r w:rsidRPr="003874C1">
              <w:rPr>
                <w:rFonts w:ascii="Cambria" w:hAnsi="Cambria"/>
                <w:sz w:val="22"/>
                <w:szCs w:val="22"/>
              </w:rPr>
              <w:t xml:space="preserve"> : </w:t>
            </w:r>
          </w:p>
          <w:p w14:paraId="33B7D358" w14:textId="06BA44FD" w:rsidR="007C3388" w:rsidRDefault="007C3388" w:rsidP="000426DA">
            <w:pPr>
              <w:pStyle w:val="Default"/>
              <w:rPr>
                <w:rFonts w:ascii="Cambria" w:hAnsi="Cambria"/>
                <w:sz w:val="22"/>
                <w:szCs w:val="22"/>
              </w:rPr>
            </w:pPr>
            <w:r w:rsidRPr="003874C1">
              <w:rPr>
                <w:rFonts w:ascii="Cambria" w:hAnsi="Cambria"/>
                <w:sz w:val="22"/>
                <w:szCs w:val="22"/>
              </w:rPr>
              <w:t xml:space="preserve">Espèces moléculaires, espèces ioniques, électroneutralité de la matière au niveau macroscopique. </w:t>
            </w:r>
          </w:p>
          <w:p w14:paraId="32F55369" w14:textId="088DB126" w:rsidR="007C3388" w:rsidRDefault="007C3388" w:rsidP="000426DA">
            <w:pPr>
              <w:pStyle w:val="Default"/>
              <w:rPr>
                <w:rFonts w:ascii="Cambria" w:hAnsi="Cambria"/>
                <w:sz w:val="22"/>
                <w:szCs w:val="22"/>
              </w:rPr>
            </w:pPr>
          </w:p>
          <w:p w14:paraId="00CB1AAC" w14:textId="151448DA" w:rsidR="007C3388" w:rsidRDefault="007C3388" w:rsidP="003874C1">
            <w:pPr>
              <w:pStyle w:val="Default"/>
              <w:rPr>
                <w:sz w:val="22"/>
                <w:szCs w:val="22"/>
              </w:rPr>
            </w:pPr>
            <w:r w:rsidRPr="003874C1">
              <w:rPr>
                <w:rFonts w:ascii="Cambria" w:hAnsi="Cambria"/>
                <w:sz w:val="22"/>
                <w:szCs w:val="22"/>
              </w:rPr>
              <w:t xml:space="preserve">Utiliser le terme adapté parmi </w:t>
            </w:r>
            <w:r w:rsidRPr="003874C1">
              <w:rPr>
                <w:rFonts w:ascii="Cambria" w:hAnsi="Cambria"/>
                <w:i/>
                <w:iCs/>
                <w:sz w:val="22"/>
                <w:szCs w:val="22"/>
              </w:rPr>
              <w:t>molécule</w:t>
            </w:r>
            <w:r w:rsidRPr="003874C1">
              <w:rPr>
                <w:rFonts w:ascii="Cambria" w:hAnsi="Cambria"/>
                <w:sz w:val="22"/>
                <w:szCs w:val="22"/>
              </w:rPr>
              <w:t xml:space="preserve">, </w:t>
            </w:r>
            <w:r w:rsidRPr="003874C1">
              <w:rPr>
                <w:rFonts w:ascii="Cambria" w:hAnsi="Cambria"/>
                <w:i/>
                <w:iCs/>
                <w:sz w:val="22"/>
                <w:szCs w:val="22"/>
              </w:rPr>
              <w:t>atome</w:t>
            </w:r>
            <w:r w:rsidRPr="003874C1">
              <w:rPr>
                <w:rFonts w:ascii="Cambria" w:hAnsi="Cambria"/>
                <w:sz w:val="22"/>
                <w:szCs w:val="22"/>
              </w:rPr>
              <w:t xml:space="preserve">, </w:t>
            </w:r>
            <w:r w:rsidRPr="003874C1">
              <w:rPr>
                <w:rFonts w:ascii="Cambria" w:hAnsi="Cambria"/>
                <w:i/>
                <w:iCs/>
                <w:sz w:val="22"/>
                <w:szCs w:val="22"/>
              </w:rPr>
              <w:t xml:space="preserve">anion </w:t>
            </w:r>
            <w:r w:rsidRPr="003874C1">
              <w:rPr>
                <w:rFonts w:ascii="Cambria" w:hAnsi="Cambria"/>
                <w:sz w:val="22"/>
                <w:szCs w:val="22"/>
              </w:rPr>
              <w:t xml:space="preserve">et </w:t>
            </w:r>
            <w:r w:rsidRPr="003874C1">
              <w:rPr>
                <w:rFonts w:ascii="Cambria" w:hAnsi="Cambria"/>
                <w:i/>
                <w:iCs/>
                <w:sz w:val="22"/>
                <w:szCs w:val="22"/>
              </w:rPr>
              <w:t xml:space="preserve">cation </w:t>
            </w:r>
            <w:r w:rsidRPr="003874C1">
              <w:rPr>
                <w:rFonts w:ascii="Cambria" w:hAnsi="Cambria"/>
                <w:sz w:val="22"/>
                <w:szCs w:val="22"/>
              </w:rPr>
              <w:t>pour qualifier une entité chimique à partir d’une formule chimique donnée</w:t>
            </w:r>
            <w:r>
              <w:rPr>
                <w:sz w:val="22"/>
                <w:szCs w:val="22"/>
              </w:rPr>
              <w:t xml:space="preserve">. </w:t>
            </w:r>
          </w:p>
          <w:p w14:paraId="463B8F10" w14:textId="77777777" w:rsidR="007C3388" w:rsidRDefault="007C3388" w:rsidP="003874C1">
            <w:pPr>
              <w:pStyle w:val="Default"/>
              <w:rPr>
                <w:sz w:val="22"/>
                <w:szCs w:val="22"/>
              </w:rPr>
            </w:pPr>
          </w:p>
          <w:p w14:paraId="777D9AF9" w14:textId="77777777" w:rsidR="007C3388" w:rsidRPr="003874C1" w:rsidRDefault="007C3388" w:rsidP="000426DA">
            <w:pPr>
              <w:pStyle w:val="Default"/>
              <w:rPr>
                <w:rFonts w:ascii="Cambria" w:hAnsi="Cambria"/>
                <w:sz w:val="22"/>
                <w:szCs w:val="22"/>
              </w:rPr>
            </w:pPr>
            <w:r w:rsidRPr="003874C1">
              <w:rPr>
                <w:rFonts w:ascii="Cambria" w:hAnsi="Cambria"/>
                <w:sz w:val="22"/>
                <w:szCs w:val="22"/>
              </w:rPr>
              <w:t xml:space="preserve">Identifier, à partir de valeurs de référence, une espèce chimique par sa masse volumique. </w:t>
            </w:r>
          </w:p>
          <w:tbl>
            <w:tblPr>
              <w:tblW w:w="0" w:type="auto"/>
              <w:tblBorders>
                <w:top w:val="nil"/>
                <w:left w:val="nil"/>
                <w:bottom w:val="nil"/>
                <w:right w:val="nil"/>
              </w:tblBorders>
              <w:tblLook w:val="0000" w:firstRow="0" w:lastRow="0" w:firstColumn="0" w:lastColumn="0" w:noHBand="0" w:noVBand="0"/>
            </w:tblPr>
            <w:tblGrid>
              <w:gridCol w:w="2477"/>
            </w:tblGrid>
            <w:tr w:rsidR="007C3388" w:rsidRPr="00BA4313" w14:paraId="7B74777F" w14:textId="77777777">
              <w:trPr>
                <w:trHeight w:val="669"/>
              </w:trPr>
              <w:tc>
                <w:tcPr>
                  <w:tcW w:w="0" w:type="auto"/>
                </w:tcPr>
                <w:p w14:paraId="45E8F538" w14:textId="77777777" w:rsidR="007C3388" w:rsidRDefault="007C3388" w:rsidP="003874C1">
                  <w:pPr>
                    <w:widowControl/>
                    <w:kinsoku/>
                    <w:autoSpaceDE w:val="0"/>
                    <w:autoSpaceDN w:val="0"/>
                    <w:adjustRightInd w:val="0"/>
                    <w:rPr>
                      <w:rFonts w:ascii="Cambria" w:eastAsiaTheme="minorHAnsi" w:hAnsi="Cambria" w:cs="Arial"/>
                      <w:b/>
                      <w:color w:val="000000"/>
                      <w:sz w:val="22"/>
                      <w:szCs w:val="22"/>
                      <w:lang w:eastAsia="en-US"/>
                    </w:rPr>
                  </w:pPr>
                </w:p>
                <w:p w14:paraId="3298A9D8" w14:textId="3C87EF02" w:rsidR="007C3388" w:rsidRPr="003874C1" w:rsidRDefault="007C3388" w:rsidP="003874C1">
                  <w:pPr>
                    <w:widowControl/>
                    <w:kinsoku/>
                    <w:autoSpaceDE w:val="0"/>
                    <w:autoSpaceDN w:val="0"/>
                    <w:adjustRightInd w:val="0"/>
                    <w:rPr>
                      <w:rFonts w:ascii="Cambria" w:hAnsi="Cambria"/>
                      <w:sz w:val="22"/>
                      <w:szCs w:val="22"/>
                    </w:rPr>
                  </w:pPr>
                  <w:r w:rsidRPr="003874C1">
                    <w:rPr>
                      <w:rFonts w:ascii="Cambria" w:hAnsi="Cambria"/>
                      <w:sz w:val="22"/>
                      <w:szCs w:val="22"/>
                    </w:rPr>
                    <w:t xml:space="preserve">Modélisation microscopique d’un changement d’état. </w:t>
                  </w:r>
                </w:p>
                <w:p w14:paraId="25B8808A" w14:textId="77777777" w:rsidR="007C3388" w:rsidRPr="003874C1" w:rsidRDefault="007C3388" w:rsidP="003874C1">
                  <w:pPr>
                    <w:widowControl/>
                    <w:kinsoku/>
                    <w:autoSpaceDE w:val="0"/>
                    <w:autoSpaceDN w:val="0"/>
                    <w:adjustRightInd w:val="0"/>
                    <w:rPr>
                      <w:rFonts w:ascii="Cambria" w:hAnsi="Cambria"/>
                      <w:sz w:val="22"/>
                      <w:szCs w:val="22"/>
                    </w:rPr>
                  </w:pPr>
                </w:p>
                <w:p w14:paraId="3227E309" w14:textId="77777777" w:rsidR="007C3388" w:rsidRDefault="007C3388" w:rsidP="003874C1">
                  <w:pPr>
                    <w:widowControl/>
                    <w:kinsoku/>
                    <w:autoSpaceDE w:val="0"/>
                    <w:autoSpaceDN w:val="0"/>
                    <w:adjustRightInd w:val="0"/>
                    <w:rPr>
                      <w:rFonts w:ascii="Cambria" w:eastAsiaTheme="minorHAnsi" w:hAnsi="Cambria" w:cs="Arial"/>
                      <w:color w:val="000000"/>
                      <w:sz w:val="22"/>
                      <w:szCs w:val="22"/>
                      <w:lang w:eastAsia="en-US"/>
                    </w:rPr>
                  </w:pPr>
                  <w:r w:rsidRPr="00BA4313">
                    <w:rPr>
                      <w:rFonts w:ascii="Cambria" w:eastAsiaTheme="minorHAnsi" w:hAnsi="Cambria" w:cs="Arial"/>
                      <w:color w:val="000000"/>
                      <w:sz w:val="22"/>
                      <w:szCs w:val="22"/>
                      <w:lang w:eastAsia="en-US"/>
                    </w:rPr>
                    <w:t xml:space="preserve">Établir l’écriture d’une équation pour un changement d’état. </w:t>
                  </w:r>
                </w:p>
                <w:p w14:paraId="3F3D8CE3" w14:textId="77777777" w:rsidR="007C3388" w:rsidRPr="00BA4313" w:rsidRDefault="007C3388" w:rsidP="003874C1">
                  <w:pPr>
                    <w:widowControl/>
                    <w:kinsoku/>
                    <w:autoSpaceDE w:val="0"/>
                    <w:autoSpaceDN w:val="0"/>
                    <w:adjustRightInd w:val="0"/>
                    <w:rPr>
                      <w:rFonts w:ascii="Cambria" w:eastAsiaTheme="minorHAnsi" w:hAnsi="Cambria" w:cs="Arial"/>
                      <w:color w:val="000000"/>
                      <w:sz w:val="22"/>
                      <w:szCs w:val="22"/>
                      <w:lang w:eastAsia="en-US"/>
                    </w:rPr>
                  </w:pPr>
                </w:p>
                <w:p w14:paraId="3752B848" w14:textId="77777777" w:rsidR="007C3388" w:rsidRPr="00BA4313" w:rsidRDefault="007C3388" w:rsidP="00BA4313">
                  <w:pPr>
                    <w:widowControl/>
                    <w:kinsoku/>
                    <w:autoSpaceDE w:val="0"/>
                    <w:autoSpaceDN w:val="0"/>
                    <w:adjustRightInd w:val="0"/>
                    <w:rPr>
                      <w:rFonts w:ascii="Arial" w:eastAsiaTheme="minorHAnsi" w:hAnsi="Arial" w:cs="Arial"/>
                      <w:color w:val="000000"/>
                      <w:sz w:val="22"/>
                      <w:szCs w:val="22"/>
                      <w:lang w:eastAsia="en-US"/>
                    </w:rPr>
                  </w:pPr>
                  <w:r w:rsidRPr="00BA4313">
                    <w:rPr>
                      <w:rFonts w:ascii="Cambria" w:eastAsiaTheme="minorHAnsi" w:hAnsi="Cambria" w:cs="Arial"/>
                      <w:color w:val="000000"/>
                      <w:sz w:val="22"/>
                      <w:szCs w:val="22"/>
                      <w:lang w:eastAsia="en-US"/>
                    </w:rPr>
                    <w:t>Identifier le sens du transfert thermique lors d’un changement d’état et le relier au terme exothermique ou endothermique.</w:t>
                  </w:r>
                  <w:r w:rsidRPr="00BA4313">
                    <w:rPr>
                      <w:rFonts w:ascii="Arial" w:eastAsiaTheme="minorHAnsi" w:hAnsi="Arial" w:cs="Arial"/>
                      <w:color w:val="000000"/>
                      <w:sz w:val="22"/>
                      <w:szCs w:val="22"/>
                      <w:lang w:eastAsia="en-US"/>
                    </w:rPr>
                    <w:t xml:space="preserve"> </w:t>
                  </w:r>
                </w:p>
              </w:tc>
            </w:tr>
          </w:tbl>
          <w:p w14:paraId="7124074F" w14:textId="624068B8" w:rsidR="007C3388" w:rsidRPr="003874C1" w:rsidRDefault="007C3388" w:rsidP="4FDC3B84">
            <w:pPr>
              <w:rPr>
                <w:rFonts w:ascii="Cambria" w:hAnsi="Cambria"/>
              </w:rPr>
            </w:pPr>
          </w:p>
          <w:p w14:paraId="379D8D9C" w14:textId="5A136BDA" w:rsidR="007C3388" w:rsidRPr="003874C1" w:rsidRDefault="4FDC3B84" w:rsidP="4FDC3B84">
            <w:pPr>
              <w:rPr>
                <w:rFonts w:ascii="Cambria" w:hAnsi="Cambria"/>
              </w:rPr>
            </w:pPr>
            <w:r w:rsidRPr="4FDC3B84">
              <w:rPr>
                <w:rFonts w:ascii="Cambria" w:hAnsi="Cambria"/>
                <w:b/>
                <w:bCs/>
              </w:rPr>
              <w:t xml:space="preserve">Mathématiques : </w:t>
            </w:r>
          </w:p>
          <w:p w14:paraId="71D5DA89" w14:textId="52652095" w:rsidR="007C3388" w:rsidRPr="003874C1" w:rsidRDefault="4FDC3B84" w:rsidP="4FDC3B84">
            <w:pPr>
              <w:rPr>
                <w:rFonts w:ascii="Cambria" w:eastAsia="Cambria" w:hAnsi="Cambria" w:cs="Cambria"/>
              </w:rPr>
            </w:pPr>
            <w:r w:rsidRPr="4FDC3B84">
              <w:rPr>
                <w:rFonts w:ascii="Cambria" w:eastAsia="Cambria" w:hAnsi="Cambria" w:cs="Cambria"/>
              </w:rPr>
              <w:t>Repérage cartésien, Représentation en perspective cavalière (cycle 4).</w:t>
            </w:r>
          </w:p>
          <w:p w14:paraId="7C0CD91D" w14:textId="43D2D92D" w:rsidR="007C3388" w:rsidRPr="003874C1" w:rsidRDefault="4FDC3B84" w:rsidP="4FDC3B84">
            <w:pPr>
              <w:rPr>
                <w:rFonts w:ascii="Cambria" w:eastAsia="Cambria" w:hAnsi="Cambria" w:cs="Cambria"/>
              </w:rPr>
            </w:pPr>
            <w:r w:rsidRPr="4FDC3B84">
              <w:rPr>
                <w:rFonts w:ascii="Cambria" w:eastAsia="Cambria" w:hAnsi="Cambria" w:cs="Cambria"/>
              </w:rPr>
              <w:t>Solides usuels (cube et boule, cycle 4), Théorème de Pythagore.</w:t>
            </w:r>
          </w:p>
          <w:p w14:paraId="282057F1" w14:textId="402A43B0" w:rsidR="007C3388" w:rsidRPr="003874C1" w:rsidRDefault="4FDC3B84" w:rsidP="4FDC3B84">
            <w:pPr>
              <w:rPr>
                <w:rFonts w:ascii="Cambria" w:hAnsi="Cambria"/>
              </w:rPr>
            </w:pPr>
            <w:r w:rsidRPr="4FDC3B84">
              <w:rPr>
                <w:rFonts w:ascii="Cambria" w:hAnsi="Cambria"/>
              </w:rPr>
              <w:t xml:space="preserve">Proportionnalité (conversion unité, </w:t>
            </w:r>
            <w:r w:rsidRPr="4FDC3B84">
              <w:rPr>
                <w:rFonts w:ascii="Cambria" w:hAnsi="Cambria"/>
              </w:rPr>
              <w:lastRenderedPageBreak/>
              <w:t>calcul de proportions)</w:t>
            </w:r>
          </w:p>
          <w:p w14:paraId="44D3A396" w14:textId="334E3447" w:rsidR="007C3388" w:rsidRPr="003874C1" w:rsidRDefault="4FDC3B84" w:rsidP="4FDC3B84">
            <w:pPr>
              <w:pStyle w:val="Default"/>
              <w:rPr>
                <w:rFonts w:ascii="Cambria" w:hAnsi="Cambria"/>
                <w:sz w:val="22"/>
                <w:szCs w:val="22"/>
              </w:rPr>
            </w:pPr>
            <w:r w:rsidRPr="4FDC3B84">
              <w:rPr>
                <w:rFonts w:ascii="Cambria" w:hAnsi="Cambria"/>
                <w:i/>
                <w:iCs/>
                <w:sz w:val="22"/>
                <w:szCs w:val="22"/>
              </w:rPr>
              <w:t>Utilisation du tableur</w:t>
            </w:r>
            <w:r w:rsidRPr="4FDC3B84">
              <w:rPr>
                <w:rFonts w:ascii="Cambria" w:hAnsi="Cambria"/>
                <w:sz w:val="22"/>
                <w:szCs w:val="22"/>
              </w:rPr>
              <w:t xml:space="preserve"> </w:t>
            </w:r>
          </w:p>
          <w:p w14:paraId="4DCFF92E" w14:textId="0DEFE168" w:rsidR="007C3388" w:rsidRPr="003874C1" w:rsidRDefault="4FDC3B84" w:rsidP="4FDC3B84">
            <w:pPr>
              <w:pStyle w:val="Default"/>
              <w:rPr>
                <w:rFonts w:ascii="Cambria" w:hAnsi="Cambria"/>
                <w:i/>
                <w:iCs/>
                <w:sz w:val="22"/>
                <w:szCs w:val="22"/>
              </w:rPr>
            </w:pPr>
            <w:r w:rsidRPr="4FDC3B84">
              <w:rPr>
                <w:rFonts w:ascii="Cambria" w:hAnsi="Cambria"/>
                <w:i/>
                <w:iCs/>
                <w:sz w:val="22"/>
                <w:szCs w:val="22"/>
              </w:rPr>
              <w:t>Programmation Python</w:t>
            </w:r>
          </w:p>
          <w:p w14:paraId="4C707099" w14:textId="359A38A0" w:rsidR="007C3388" w:rsidRDefault="4FDC3B84" w:rsidP="4FDC3B84">
            <w:pPr>
              <w:pStyle w:val="Default"/>
              <w:rPr>
                <w:rFonts w:ascii="Cambria" w:hAnsi="Cambria"/>
                <w:i/>
                <w:iCs/>
                <w:sz w:val="22"/>
                <w:szCs w:val="22"/>
              </w:rPr>
            </w:pPr>
            <w:r w:rsidRPr="4FDC3B84">
              <w:rPr>
                <w:rFonts w:ascii="Cambria" w:hAnsi="Cambria"/>
                <w:i/>
                <w:iCs/>
                <w:sz w:val="22"/>
                <w:szCs w:val="22"/>
              </w:rPr>
              <w:t>Logiciel de géométrie dynamique (3D)</w:t>
            </w:r>
          </w:p>
          <w:p w14:paraId="787B2DD6" w14:textId="289A512C" w:rsidR="0022323F" w:rsidRDefault="0022323F" w:rsidP="4FDC3B84">
            <w:pPr>
              <w:pStyle w:val="Default"/>
              <w:rPr>
                <w:rFonts w:ascii="Cambria" w:hAnsi="Cambria"/>
                <w:b/>
                <w:bCs/>
                <w:i/>
                <w:iCs/>
                <w:sz w:val="22"/>
                <w:szCs w:val="22"/>
              </w:rPr>
            </w:pPr>
          </w:p>
          <w:p w14:paraId="14BF514E" w14:textId="77777777" w:rsidR="00A77D6F" w:rsidRPr="0022323F" w:rsidRDefault="00A77D6F" w:rsidP="00A77D6F">
            <w:pPr>
              <w:pStyle w:val="Default"/>
              <w:rPr>
                <w:rFonts w:ascii="Cambria" w:hAnsi="Cambria"/>
                <w:b/>
                <w:bCs/>
                <w:iCs/>
                <w:sz w:val="22"/>
                <w:szCs w:val="22"/>
              </w:rPr>
            </w:pPr>
            <w:r w:rsidRPr="0022323F">
              <w:rPr>
                <w:rFonts w:ascii="Cambria" w:hAnsi="Cambria"/>
                <w:b/>
                <w:bCs/>
                <w:iCs/>
                <w:sz w:val="22"/>
                <w:szCs w:val="22"/>
              </w:rPr>
              <w:t>SVT</w:t>
            </w:r>
          </w:p>
          <w:p w14:paraId="0A9EC80C" w14:textId="77777777" w:rsidR="00A77D6F" w:rsidRPr="0022323F" w:rsidRDefault="00A77D6F" w:rsidP="00A77D6F">
            <w:pPr>
              <w:pStyle w:val="Default"/>
              <w:rPr>
                <w:rFonts w:ascii="Cambria" w:hAnsi="Cambria"/>
                <w:b/>
                <w:bCs/>
                <w:iCs/>
                <w:sz w:val="22"/>
                <w:szCs w:val="22"/>
              </w:rPr>
            </w:pPr>
          </w:p>
          <w:p w14:paraId="086D3C5F" w14:textId="77777777" w:rsidR="00A77D6F" w:rsidRPr="007F5404" w:rsidRDefault="00A77D6F" w:rsidP="00A77D6F">
            <w:pPr>
              <w:widowControl/>
              <w:kinsoku/>
              <w:autoSpaceDE w:val="0"/>
              <w:autoSpaceDN w:val="0"/>
              <w:adjustRightInd w:val="0"/>
              <w:rPr>
                <w:rFonts w:ascii="Cambria" w:eastAsiaTheme="minorHAnsi" w:hAnsi="Cambria" w:cs="Arial"/>
                <w:color w:val="538135" w:themeColor="accent6" w:themeShade="BF"/>
                <w:sz w:val="22"/>
                <w:szCs w:val="22"/>
                <w:lang w:eastAsia="en-US"/>
              </w:rPr>
            </w:pPr>
            <w:r w:rsidRPr="007F5404">
              <w:rPr>
                <w:rFonts w:ascii="Cambria" w:eastAsiaTheme="minorHAnsi" w:hAnsi="Cambria" w:cs="Arial"/>
                <w:color w:val="538135" w:themeColor="accent6" w:themeShade="BF"/>
                <w:sz w:val="22"/>
                <w:szCs w:val="22"/>
                <w:lang w:eastAsia="en-US"/>
              </w:rPr>
              <w:t xml:space="preserve">Exemple des roches salines s’il a été choisi en Seconde. </w:t>
            </w:r>
          </w:p>
          <w:p w14:paraId="61B1AAFA" w14:textId="77777777" w:rsidR="00A77D6F" w:rsidRPr="007F5404" w:rsidRDefault="00A77D6F" w:rsidP="00A77D6F">
            <w:pPr>
              <w:widowControl/>
              <w:kinsoku/>
              <w:autoSpaceDE w:val="0"/>
              <w:autoSpaceDN w:val="0"/>
              <w:adjustRightInd w:val="0"/>
              <w:rPr>
                <w:rFonts w:ascii="Cambria" w:eastAsiaTheme="minorHAnsi" w:hAnsi="Cambria" w:cs="Arial"/>
                <w:color w:val="538135" w:themeColor="accent6" w:themeShade="BF"/>
                <w:sz w:val="22"/>
                <w:szCs w:val="22"/>
                <w:lang w:eastAsia="en-US"/>
              </w:rPr>
            </w:pPr>
            <w:r w:rsidRPr="007F5404">
              <w:rPr>
                <w:rFonts w:ascii="Cambria" w:eastAsiaTheme="minorHAnsi" w:hAnsi="Cambria" w:cs="Arial"/>
                <w:color w:val="538135" w:themeColor="accent6" w:themeShade="BF"/>
                <w:sz w:val="22"/>
                <w:szCs w:val="22"/>
                <w:lang w:eastAsia="en-US"/>
              </w:rPr>
              <w:t>« Les roches formées dépendent des apports et des milieux de sédimentation »</w:t>
            </w:r>
          </w:p>
          <w:p w14:paraId="3A462BE7" w14:textId="77777777" w:rsidR="0022323F" w:rsidRDefault="0022323F" w:rsidP="0022323F">
            <w:pPr>
              <w:pStyle w:val="Default"/>
              <w:rPr>
                <w:rFonts w:ascii="Cambria" w:hAnsi="Cambria"/>
                <w:b/>
                <w:bCs/>
                <w:iCs/>
                <w:sz w:val="22"/>
                <w:szCs w:val="22"/>
              </w:rPr>
            </w:pPr>
          </w:p>
          <w:p w14:paraId="0C091076" w14:textId="52C93231" w:rsidR="0022323F" w:rsidRDefault="0022323F" w:rsidP="4FDC3B84">
            <w:pPr>
              <w:pStyle w:val="Default"/>
              <w:rPr>
                <w:rFonts w:ascii="Cambria" w:hAnsi="Cambria"/>
                <w:b/>
                <w:bCs/>
                <w:iCs/>
                <w:sz w:val="22"/>
                <w:szCs w:val="22"/>
              </w:rPr>
            </w:pPr>
          </w:p>
          <w:p w14:paraId="0B976BE7" w14:textId="77777777" w:rsidR="0022323F" w:rsidRPr="0022323F" w:rsidRDefault="0022323F" w:rsidP="4FDC3B84">
            <w:pPr>
              <w:pStyle w:val="Default"/>
              <w:rPr>
                <w:rFonts w:ascii="Cambria" w:hAnsi="Cambria"/>
                <w:b/>
                <w:bCs/>
                <w:iCs/>
                <w:sz w:val="22"/>
                <w:szCs w:val="22"/>
              </w:rPr>
            </w:pPr>
          </w:p>
          <w:p w14:paraId="22E73B6A" w14:textId="70FAFBFB" w:rsidR="007C3388" w:rsidRPr="003874C1" w:rsidRDefault="007C3388" w:rsidP="4FDC3B84">
            <w:pPr>
              <w:rPr>
                <w:rFonts w:ascii="Cambria" w:hAnsi="Cambria"/>
              </w:rPr>
            </w:pPr>
          </w:p>
        </w:tc>
        <w:tc>
          <w:tcPr>
            <w:tcW w:w="2553" w:type="dxa"/>
            <w:vMerge w:val="restart"/>
          </w:tcPr>
          <w:p w14:paraId="5FFA99A9" w14:textId="219D7950" w:rsidR="007C3388" w:rsidRDefault="007C3388" w:rsidP="00C00448">
            <w:pPr>
              <w:rPr>
                <w:rFonts w:ascii="Cambria" w:hAnsi="Cambria"/>
              </w:rPr>
            </w:pPr>
            <w:r w:rsidRPr="000F1C43">
              <w:rPr>
                <w:rFonts w:ascii="Cambria" w:hAnsi="Cambria"/>
              </w:rPr>
              <w:lastRenderedPageBreak/>
              <w:t xml:space="preserve">On </w:t>
            </w:r>
            <w:r>
              <w:rPr>
                <w:rFonts w:ascii="Cambria" w:hAnsi="Cambria"/>
              </w:rPr>
              <w:t xml:space="preserve">enrichit le modèle microscopique du solide étudié dans les classes antérieures en </w:t>
            </w:r>
            <w:r w:rsidRPr="000F1C43">
              <w:rPr>
                <w:rFonts w:ascii="Cambria" w:hAnsi="Cambria"/>
              </w:rPr>
              <w:t>introdui</w:t>
            </w:r>
            <w:r>
              <w:rPr>
                <w:rFonts w:ascii="Cambria" w:hAnsi="Cambria"/>
              </w:rPr>
              <w:t xml:space="preserve">sant </w:t>
            </w:r>
            <w:r w:rsidRPr="000F1C43">
              <w:rPr>
                <w:rFonts w:ascii="Cambria" w:hAnsi="Cambria"/>
              </w:rPr>
              <w:t>le modèle du solide cristallin</w:t>
            </w:r>
            <w:r>
              <w:rPr>
                <w:rFonts w:ascii="Cambria" w:hAnsi="Cambria"/>
              </w:rPr>
              <w:t xml:space="preserve"> que l’on distingue du solide amorphe en termes d’ordre géométrique des entités qui le constitue</w:t>
            </w:r>
            <w:r w:rsidRPr="000F1C43">
              <w:rPr>
                <w:rFonts w:ascii="Cambria" w:hAnsi="Cambria"/>
              </w:rPr>
              <w:t xml:space="preserve">. </w:t>
            </w:r>
          </w:p>
          <w:p w14:paraId="2C2D7D5F" w14:textId="77777777" w:rsidR="007C3388" w:rsidRDefault="007C3388" w:rsidP="00C00448">
            <w:pPr>
              <w:rPr>
                <w:rFonts w:ascii="Cambria" w:hAnsi="Cambria"/>
              </w:rPr>
            </w:pPr>
          </w:p>
          <w:p w14:paraId="5A217581" w14:textId="1C79CAA3" w:rsidR="007C3388" w:rsidRPr="000F1C43" w:rsidRDefault="303B7B1A" w:rsidP="303B7B1A">
            <w:pPr>
              <w:rPr>
                <w:rFonts w:ascii="Cambria" w:hAnsi="Cambria"/>
              </w:rPr>
            </w:pPr>
            <w:r w:rsidRPr="303B7B1A">
              <w:rPr>
                <w:rFonts w:ascii="Cambria" w:hAnsi="Cambria"/>
              </w:rPr>
              <w:t>Dans le cadre du solide cristallin, on exploite les réseaux cubiques simple et à faces centrées pour représenter la maille correspondante, pour calculer le taux d’occupation réel des entités la constituant et pour retrouver la grandeur macroscopique masse volumique.</w:t>
            </w:r>
          </w:p>
          <w:p w14:paraId="1BDF1399" w14:textId="7310FB8A" w:rsidR="007C3388" w:rsidRPr="000F1C43" w:rsidRDefault="303B7B1A" w:rsidP="303B7B1A">
            <w:pPr>
              <w:rPr>
                <w:rFonts w:ascii="Cambria" w:hAnsi="Cambria"/>
              </w:rPr>
            </w:pPr>
            <w:r w:rsidRPr="303B7B1A">
              <w:rPr>
                <w:rFonts w:ascii="Cambria" w:hAnsi="Cambria"/>
              </w:rPr>
              <w:t>La géométrie dans l’espace (solides usuels, volumes et sections) sont des objets abordés et travaillés en mathématiques au collège mais peu abordés en seconde.</w:t>
            </w:r>
          </w:p>
        </w:tc>
        <w:tc>
          <w:tcPr>
            <w:tcW w:w="2799" w:type="dxa"/>
            <w:vMerge w:val="restart"/>
          </w:tcPr>
          <w:p w14:paraId="447590B8" w14:textId="77777777" w:rsidR="007C3388" w:rsidRPr="009E745E" w:rsidRDefault="007C3388" w:rsidP="00C00448">
            <w:pPr>
              <w:rPr>
                <w:rFonts w:ascii="Cambria" w:hAnsi="Cambria"/>
                <w:b/>
                <w:sz w:val="22"/>
                <w:szCs w:val="22"/>
              </w:rPr>
            </w:pPr>
            <w:r w:rsidRPr="009E745E">
              <w:rPr>
                <w:rFonts w:ascii="Cambria" w:hAnsi="Cambria"/>
                <w:b/>
                <w:sz w:val="22"/>
                <w:szCs w:val="22"/>
              </w:rPr>
              <w:lastRenderedPageBreak/>
              <w:t>Physique-chimie :</w:t>
            </w:r>
          </w:p>
          <w:p w14:paraId="5FB22360" w14:textId="77777777" w:rsidR="007C3388" w:rsidRPr="009E745E" w:rsidRDefault="007C3388" w:rsidP="003C1EF9">
            <w:pPr>
              <w:widowControl/>
              <w:kinsoku/>
              <w:autoSpaceDE w:val="0"/>
              <w:autoSpaceDN w:val="0"/>
              <w:adjustRightInd w:val="0"/>
              <w:rPr>
                <w:rFonts w:ascii="Cambria" w:eastAsiaTheme="minorHAnsi" w:hAnsi="Cambria" w:cs="Arial"/>
                <w:color w:val="000000"/>
                <w:sz w:val="22"/>
                <w:szCs w:val="22"/>
                <w:lang w:eastAsia="en-US"/>
              </w:rPr>
            </w:pPr>
            <w:r w:rsidRPr="009E745E">
              <w:rPr>
                <w:rFonts w:ascii="Cambria" w:eastAsiaTheme="minorHAnsi" w:hAnsi="Cambria" w:cs="Arial"/>
                <w:color w:val="000000"/>
                <w:sz w:val="22"/>
                <w:szCs w:val="22"/>
                <w:lang w:eastAsia="en-US"/>
              </w:rPr>
              <w:t>Cohésion dans un solide.</w:t>
            </w:r>
          </w:p>
          <w:p w14:paraId="7B90C66C" w14:textId="444AF09E" w:rsidR="007C3388" w:rsidRPr="00D906D4" w:rsidRDefault="007C3388" w:rsidP="003C1EF9">
            <w:pPr>
              <w:widowControl/>
              <w:kinsoku/>
              <w:autoSpaceDE w:val="0"/>
              <w:autoSpaceDN w:val="0"/>
              <w:adjustRightInd w:val="0"/>
              <w:rPr>
                <w:rFonts w:ascii="Cambria" w:eastAsiaTheme="minorHAnsi" w:hAnsi="Cambria" w:cs="Arial"/>
                <w:color w:val="000000"/>
                <w:sz w:val="22"/>
                <w:szCs w:val="22"/>
                <w:lang w:eastAsia="en-US"/>
              </w:rPr>
            </w:pPr>
            <w:r w:rsidRPr="009E745E">
              <w:rPr>
                <w:rFonts w:ascii="Cambria" w:eastAsiaTheme="minorHAnsi" w:hAnsi="Cambria" w:cs="Arial"/>
                <w:color w:val="000000"/>
                <w:sz w:val="22"/>
                <w:szCs w:val="22"/>
                <w:lang w:eastAsia="en-US"/>
              </w:rPr>
              <w:t>Modélisation par des interactions entre ions, entre entités polaires, entre entités apolaires et/ou par pont hydrogène</w:t>
            </w:r>
          </w:p>
          <w:p w14:paraId="317D138D" w14:textId="77777777" w:rsidR="007C3388" w:rsidRPr="00D906D4" w:rsidRDefault="007C3388" w:rsidP="00D906D4">
            <w:pPr>
              <w:widowControl/>
              <w:kinsoku/>
              <w:autoSpaceDE w:val="0"/>
              <w:autoSpaceDN w:val="0"/>
              <w:adjustRightInd w:val="0"/>
              <w:rPr>
                <w:rFonts w:ascii="Cambria" w:eastAsiaTheme="minorHAnsi" w:hAnsi="Cambria" w:cs="Arial"/>
                <w:color w:val="000000"/>
                <w:sz w:val="22"/>
                <w:szCs w:val="22"/>
                <w:lang w:eastAsia="en-US"/>
              </w:rPr>
            </w:pPr>
          </w:p>
          <w:p w14:paraId="506135C3" w14:textId="77777777" w:rsidR="007C3388" w:rsidRPr="009E745E" w:rsidRDefault="007C3388" w:rsidP="00D5490D">
            <w:pPr>
              <w:rPr>
                <w:rFonts w:ascii="Cambria" w:hAnsi="Cambria"/>
                <w:sz w:val="22"/>
                <w:szCs w:val="22"/>
              </w:rPr>
            </w:pPr>
            <w:r w:rsidRPr="009E745E">
              <w:rPr>
                <w:rFonts w:ascii="Cambria" w:hAnsi="Cambria"/>
                <w:sz w:val="22"/>
                <w:szCs w:val="22"/>
              </w:rPr>
              <w:t xml:space="preserve">Dissolution des solides ioniques dans l’eau. Équation de réaction de dissolution. </w:t>
            </w:r>
          </w:p>
          <w:p w14:paraId="2597547A" w14:textId="77777777" w:rsidR="007C3388" w:rsidRPr="009E745E" w:rsidRDefault="007C3388" w:rsidP="00D5490D">
            <w:pPr>
              <w:rPr>
                <w:rFonts w:ascii="Cambria" w:hAnsi="Cambria"/>
                <w:sz w:val="22"/>
                <w:szCs w:val="22"/>
              </w:rPr>
            </w:pPr>
          </w:p>
          <w:p w14:paraId="702A0420" w14:textId="77777777" w:rsidR="007C3388" w:rsidRPr="009E745E" w:rsidRDefault="007C3388" w:rsidP="00D5490D">
            <w:pPr>
              <w:rPr>
                <w:rFonts w:ascii="Cambria" w:hAnsi="Cambria"/>
                <w:sz w:val="22"/>
                <w:szCs w:val="22"/>
              </w:rPr>
            </w:pPr>
            <w:r w:rsidRPr="009E745E">
              <w:rPr>
                <w:rFonts w:ascii="Cambria" w:hAnsi="Cambria"/>
                <w:sz w:val="22"/>
                <w:szCs w:val="22"/>
              </w:rPr>
              <w:lastRenderedPageBreak/>
              <w:t>Expliquer la cohésion au sein de composés solides ioniques et moléculaires par l’analyse des interactions entre entités.</w:t>
            </w:r>
          </w:p>
          <w:p w14:paraId="24945256" w14:textId="77777777" w:rsidR="007C3388" w:rsidRPr="009E745E" w:rsidRDefault="007C3388" w:rsidP="00D5490D">
            <w:pPr>
              <w:rPr>
                <w:rFonts w:ascii="Cambria" w:hAnsi="Cambria"/>
                <w:sz w:val="22"/>
                <w:szCs w:val="22"/>
              </w:rPr>
            </w:pPr>
          </w:p>
          <w:p w14:paraId="5CBA2113" w14:textId="4FAF4EA8" w:rsidR="007C3388" w:rsidRPr="009E745E" w:rsidRDefault="007C3388" w:rsidP="00D5490D">
            <w:pPr>
              <w:rPr>
                <w:rFonts w:ascii="Cambria" w:hAnsi="Cambria"/>
                <w:sz w:val="22"/>
                <w:szCs w:val="22"/>
              </w:rPr>
            </w:pPr>
            <w:r w:rsidRPr="009E745E">
              <w:rPr>
                <w:rFonts w:ascii="Cambria" w:hAnsi="Cambria"/>
                <w:sz w:val="22"/>
                <w:szCs w:val="22"/>
              </w:rPr>
              <w:t>Expliquer la capacité de l’eau à dissocier une espèce ionique et à solvater les ions.</w:t>
            </w:r>
          </w:p>
          <w:p w14:paraId="57FF9000" w14:textId="556A0ADA" w:rsidR="007C3388" w:rsidRPr="009E745E" w:rsidRDefault="007C3388" w:rsidP="00D5490D">
            <w:pPr>
              <w:rPr>
                <w:rFonts w:ascii="Cambria" w:hAnsi="Cambria"/>
                <w:sz w:val="22"/>
                <w:szCs w:val="22"/>
              </w:rPr>
            </w:pPr>
            <w:r w:rsidRPr="009E745E">
              <w:rPr>
                <w:rFonts w:ascii="Cambria" w:hAnsi="Cambria"/>
                <w:sz w:val="22"/>
                <w:szCs w:val="22"/>
              </w:rPr>
              <w:t>Modéliser, au niveau macroscopique, la dissolution d’un composé ionique dans l’eau par une équation de réaction, en utilisant les notations (s) et (</w:t>
            </w:r>
            <w:proofErr w:type="spellStart"/>
            <w:r w:rsidRPr="009E745E">
              <w:rPr>
                <w:rFonts w:ascii="Cambria" w:hAnsi="Cambria"/>
                <w:sz w:val="22"/>
                <w:szCs w:val="22"/>
              </w:rPr>
              <w:t>aq</w:t>
            </w:r>
            <w:proofErr w:type="spellEnd"/>
            <w:r w:rsidRPr="009E745E">
              <w:rPr>
                <w:rFonts w:ascii="Cambria" w:hAnsi="Cambria"/>
                <w:sz w:val="22"/>
                <w:szCs w:val="22"/>
              </w:rPr>
              <w:t>).</w:t>
            </w:r>
          </w:p>
        </w:tc>
      </w:tr>
      <w:tr w:rsidR="007C3388" w14:paraId="464CDD37" w14:textId="77777777" w:rsidTr="303B7B1A">
        <w:tc>
          <w:tcPr>
            <w:tcW w:w="3370" w:type="dxa"/>
          </w:tcPr>
          <w:p w14:paraId="67381C6E" w14:textId="77777777" w:rsidR="007C3388" w:rsidRDefault="007C3388" w:rsidP="00C00448">
            <w:pPr>
              <w:pStyle w:val="Default"/>
              <w:rPr>
                <w:sz w:val="22"/>
                <w:szCs w:val="22"/>
              </w:rPr>
            </w:pPr>
            <w:r>
              <w:rPr>
                <w:sz w:val="22"/>
                <w:szCs w:val="22"/>
              </w:rPr>
              <w:t xml:space="preserve">Plus généralement, une structure cristalline est définie par une maille élémentaire répétée périodiquement. Un type cristallin est défini par la forme géométrique de la maille, </w:t>
            </w:r>
            <w:r>
              <w:rPr>
                <w:sz w:val="22"/>
                <w:szCs w:val="22"/>
              </w:rPr>
              <w:lastRenderedPageBreak/>
              <w:t xml:space="preserve">la nature et la position dans cette maille des entités qui le constituent. </w:t>
            </w:r>
          </w:p>
          <w:p w14:paraId="6EA78B17" w14:textId="77777777" w:rsidR="007C3388" w:rsidRDefault="007C3388" w:rsidP="00C00448">
            <w:pPr>
              <w:pStyle w:val="Default"/>
              <w:rPr>
                <w:sz w:val="22"/>
                <w:szCs w:val="22"/>
              </w:rPr>
            </w:pPr>
            <w:r>
              <w:rPr>
                <w:sz w:val="22"/>
                <w:szCs w:val="22"/>
              </w:rPr>
              <w:t xml:space="preserve">Les cristaux les plus simples peuvent être décrits par une maille cubique que la géométrie du cube permet de caractériser. La position des entités dans cette maille distingue </w:t>
            </w:r>
            <w:proofErr w:type="gramStart"/>
            <w:r>
              <w:rPr>
                <w:sz w:val="22"/>
                <w:szCs w:val="22"/>
              </w:rPr>
              <w:t>les réseaux cubique</w:t>
            </w:r>
            <w:proofErr w:type="gramEnd"/>
            <w:r>
              <w:rPr>
                <w:sz w:val="22"/>
                <w:szCs w:val="22"/>
              </w:rPr>
              <w:t xml:space="preserve"> simple et cubique à faces centrées. </w:t>
            </w:r>
          </w:p>
          <w:p w14:paraId="61BE2119" w14:textId="2C8FD71C" w:rsidR="007C3388" w:rsidRPr="00C00448" w:rsidRDefault="007C3388" w:rsidP="000426DA">
            <w:pPr>
              <w:pStyle w:val="Default"/>
              <w:rPr>
                <w:sz w:val="22"/>
                <w:szCs w:val="22"/>
              </w:rPr>
            </w:pPr>
            <w:r>
              <w:rPr>
                <w:sz w:val="22"/>
                <w:szCs w:val="22"/>
              </w:rPr>
              <w:t xml:space="preserve">La structure microscopique du cristal conditionne certaines de ses propriétés macroscopiques, dont sa masse volumique. </w:t>
            </w:r>
          </w:p>
        </w:tc>
        <w:tc>
          <w:tcPr>
            <w:tcW w:w="3151" w:type="dxa"/>
          </w:tcPr>
          <w:p w14:paraId="253C1A6D" w14:textId="77777777" w:rsidR="007C3388" w:rsidRDefault="007C3388" w:rsidP="00C00448">
            <w:pPr>
              <w:pStyle w:val="Default"/>
              <w:rPr>
                <w:sz w:val="22"/>
                <w:szCs w:val="22"/>
              </w:rPr>
            </w:pPr>
            <w:r>
              <w:rPr>
                <w:sz w:val="22"/>
                <w:szCs w:val="22"/>
              </w:rPr>
              <w:lastRenderedPageBreak/>
              <w:t xml:space="preserve">Pour chacun des deux réseaux (cubique simple et cubique à faces centrées) : </w:t>
            </w:r>
          </w:p>
          <w:p w14:paraId="0DCE857E" w14:textId="77777777" w:rsidR="007C3388" w:rsidRDefault="007C3388" w:rsidP="00C00448">
            <w:pPr>
              <w:pStyle w:val="Default"/>
              <w:rPr>
                <w:sz w:val="22"/>
                <w:szCs w:val="22"/>
              </w:rPr>
            </w:pPr>
            <w:r>
              <w:rPr>
                <w:rFonts w:ascii="Calibri" w:hAnsi="Calibri" w:cs="Calibri"/>
                <w:b/>
                <w:bCs/>
                <w:sz w:val="23"/>
                <w:szCs w:val="23"/>
              </w:rPr>
              <w:t xml:space="preserve">- </w:t>
            </w:r>
            <w:r>
              <w:rPr>
                <w:sz w:val="22"/>
                <w:szCs w:val="22"/>
              </w:rPr>
              <w:t xml:space="preserve">représenter la maille en perspective cavalière ; </w:t>
            </w:r>
          </w:p>
          <w:p w14:paraId="46E3E799" w14:textId="77777777" w:rsidR="007C3388" w:rsidRDefault="007C3388" w:rsidP="00C00448">
            <w:pPr>
              <w:pStyle w:val="Default"/>
              <w:rPr>
                <w:sz w:val="22"/>
                <w:szCs w:val="22"/>
              </w:rPr>
            </w:pPr>
            <w:r>
              <w:rPr>
                <w:rFonts w:ascii="Calibri" w:hAnsi="Calibri" w:cs="Calibri"/>
                <w:b/>
                <w:bCs/>
                <w:sz w:val="23"/>
                <w:szCs w:val="23"/>
              </w:rPr>
              <w:lastRenderedPageBreak/>
              <w:t xml:space="preserve">- </w:t>
            </w:r>
            <w:r>
              <w:rPr>
                <w:sz w:val="22"/>
                <w:szCs w:val="22"/>
              </w:rPr>
              <w:t xml:space="preserve">calculer la compacité dans le cas d’entités chimiques sphériques tangentes ; </w:t>
            </w:r>
          </w:p>
          <w:p w14:paraId="3038B498" w14:textId="77777777" w:rsidR="007C3388" w:rsidRDefault="007C3388" w:rsidP="00C00448">
            <w:pPr>
              <w:pStyle w:val="Default"/>
              <w:rPr>
                <w:sz w:val="22"/>
                <w:szCs w:val="22"/>
              </w:rPr>
            </w:pPr>
            <w:r>
              <w:rPr>
                <w:rFonts w:ascii="Calibri" w:hAnsi="Calibri" w:cs="Calibri"/>
                <w:b/>
                <w:bCs/>
                <w:sz w:val="23"/>
                <w:szCs w:val="23"/>
              </w:rPr>
              <w:t xml:space="preserve">- </w:t>
            </w:r>
            <w:r>
              <w:rPr>
                <w:sz w:val="22"/>
                <w:szCs w:val="22"/>
              </w:rPr>
              <w:t xml:space="preserve">dénombrer les atomes par maille et calculer la masse volumique du cristal. </w:t>
            </w:r>
          </w:p>
          <w:p w14:paraId="5608964B" w14:textId="77777777" w:rsidR="007C3388" w:rsidRPr="00C00448" w:rsidRDefault="007C3388" w:rsidP="00C00448">
            <w:pPr>
              <w:pStyle w:val="Default"/>
              <w:rPr>
                <w:sz w:val="22"/>
                <w:szCs w:val="22"/>
              </w:rPr>
            </w:pPr>
          </w:p>
        </w:tc>
        <w:tc>
          <w:tcPr>
            <w:tcW w:w="2693" w:type="dxa"/>
            <w:vMerge/>
          </w:tcPr>
          <w:p w14:paraId="227AAFC3" w14:textId="77777777" w:rsidR="007C3388" w:rsidRPr="003874C1" w:rsidRDefault="007C3388" w:rsidP="00C00448">
            <w:pPr>
              <w:rPr>
                <w:rFonts w:ascii="Cambria" w:hAnsi="Cambria"/>
              </w:rPr>
            </w:pPr>
          </w:p>
        </w:tc>
        <w:tc>
          <w:tcPr>
            <w:tcW w:w="2553" w:type="dxa"/>
            <w:vMerge/>
          </w:tcPr>
          <w:p w14:paraId="57B5909F" w14:textId="77777777" w:rsidR="007C3388" w:rsidRDefault="007C3388" w:rsidP="00C00448"/>
        </w:tc>
        <w:tc>
          <w:tcPr>
            <w:tcW w:w="2799" w:type="dxa"/>
            <w:vMerge/>
          </w:tcPr>
          <w:p w14:paraId="6B7A1A39" w14:textId="77777777" w:rsidR="007C3388" w:rsidRDefault="007C3388" w:rsidP="00C00448"/>
        </w:tc>
      </w:tr>
      <w:tr w:rsidR="007C3388" w14:paraId="15DF41BB" w14:textId="77777777" w:rsidTr="303B7B1A">
        <w:tc>
          <w:tcPr>
            <w:tcW w:w="3370" w:type="dxa"/>
          </w:tcPr>
          <w:p w14:paraId="0A750729" w14:textId="77777777" w:rsidR="007C3388" w:rsidRDefault="007C3388" w:rsidP="000426DA">
            <w:pPr>
              <w:pStyle w:val="Default"/>
              <w:rPr>
                <w:sz w:val="22"/>
                <w:szCs w:val="22"/>
              </w:rPr>
            </w:pPr>
            <w:r>
              <w:rPr>
                <w:sz w:val="22"/>
                <w:szCs w:val="22"/>
              </w:rPr>
              <w:t xml:space="preserve">Un composé de formule chimique donnée peut cristalliser sous différents types de structures qui ont des propriétés macroscopiques différentes. </w:t>
            </w:r>
          </w:p>
          <w:p w14:paraId="46A05E80" w14:textId="77777777" w:rsidR="007C3388" w:rsidRDefault="007C3388" w:rsidP="000426DA">
            <w:pPr>
              <w:pStyle w:val="Default"/>
              <w:rPr>
                <w:sz w:val="22"/>
                <w:szCs w:val="22"/>
              </w:rPr>
            </w:pPr>
            <w:r>
              <w:rPr>
                <w:sz w:val="22"/>
                <w:szCs w:val="22"/>
              </w:rPr>
              <w:t xml:space="preserve">Ainsi les minéraux se caractérisent par leur composition chimique et leur organisation cristalline. </w:t>
            </w:r>
          </w:p>
          <w:p w14:paraId="11562D98" w14:textId="77777777" w:rsidR="007C3388" w:rsidRDefault="007C3388" w:rsidP="000426DA">
            <w:pPr>
              <w:pStyle w:val="Default"/>
              <w:rPr>
                <w:sz w:val="22"/>
                <w:szCs w:val="22"/>
              </w:rPr>
            </w:pPr>
            <w:r>
              <w:rPr>
                <w:sz w:val="22"/>
                <w:szCs w:val="22"/>
              </w:rPr>
              <w:t xml:space="preserve">Une roche est formée de l’association de cristaux d’un même minéral ou de plusieurs minéraux. </w:t>
            </w:r>
          </w:p>
          <w:p w14:paraId="489889BD" w14:textId="321FD292" w:rsidR="007C3388" w:rsidRPr="00C00448" w:rsidRDefault="007C3388" w:rsidP="000426DA">
            <w:pPr>
              <w:pStyle w:val="Default"/>
              <w:rPr>
                <w:sz w:val="22"/>
                <w:szCs w:val="22"/>
              </w:rPr>
            </w:pPr>
            <w:r>
              <w:rPr>
                <w:sz w:val="22"/>
                <w:szCs w:val="22"/>
              </w:rPr>
              <w:t xml:space="preserve">Des structures cristallines existent aussi dans les organismes biologiques (coquille, squelette, calcul rénal, etc.). </w:t>
            </w:r>
          </w:p>
        </w:tc>
        <w:tc>
          <w:tcPr>
            <w:tcW w:w="3151" w:type="dxa"/>
          </w:tcPr>
          <w:p w14:paraId="09DE0748" w14:textId="77777777" w:rsidR="007C3388" w:rsidRDefault="007C3388" w:rsidP="000426DA">
            <w:pPr>
              <w:pStyle w:val="Default"/>
              <w:rPr>
                <w:sz w:val="22"/>
                <w:szCs w:val="22"/>
              </w:rPr>
            </w:pPr>
            <w:r>
              <w:rPr>
                <w:sz w:val="22"/>
                <w:szCs w:val="22"/>
              </w:rPr>
              <w:t xml:space="preserve">Distinguer, en termes d’échelle et d’organisation spatiale, maille, cristal, minéral, roche. </w:t>
            </w:r>
          </w:p>
          <w:p w14:paraId="1EE8F8EB" w14:textId="25C9F946" w:rsidR="007C3388" w:rsidRPr="00C00448" w:rsidRDefault="007C3388" w:rsidP="000426DA">
            <w:pPr>
              <w:pStyle w:val="Default"/>
              <w:rPr>
                <w:sz w:val="22"/>
                <w:szCs w:val="22"/>
              </w:rPr>
            </w:pPr>
            <w:r>
              <w:rPr>
                <w:sz w:val="22"/>
                <w:szCs w:val="22"/>
              </w:rPr>
              <w:t xml:space="preserve">Les identifier sur un échantillon ou une image. </w:t>
            </w:r>
          </w:p>
        </w:tc>
        <w:tc>
          <w:tcPr>
            <w:tcW w:w="2693" w:type="dxa"/>
            <w:vMerge/>
          </w:tcPr>
          <w:p w14:paraId="6AA2205E" w14:textId="77777777" w:rsidR="007C3388" w:rsidRDefault="007C3388" w:rsidP="00C00448"/>
        </w:tc>
        <w:tc>
          <w:tcPr>
            <w:tcW w:w="2553" w:type="dxa"/>
            <w:vMerge/>
          </w:tcPr>
          <w:p w14:paraId="68C09D8C" w14:textId="77777777" w:rsidR="007C3388" w:rsidRDefault="007C3388" w:rsidP="00C00448"/>
        </w:tc>
        <w:tc>
          <w:tcPr>
            <w:tcW w:w="2799" w:type="dxa"/>
            <w:vMerge/>
          </w:tcPr>
          <w:p w14:paraId="4068F72D" w14:textId="77777777" w:rsidR="007C3388" w:rsidRDefault="007C3388" w:rsidP="00C00448"/>
        </w:tc>
      </w:tr>
      <w:tr w:rsidR="007C3388" w14:paraId="3872265E" w14:textId="77777777" w:rsidTr="303B7B1A">
        <w:tc>
          <w:tcPr>
            <w:tcW w:w="3370" w:type="dxa"/>
          </w:tcPr>
          <w:p w14:paraId="344643F2" w14:textId="506CBB09" w:rsidR="007C3388" w:rsidRPr="00C00448" w:rsidRDefault="007C3388" w:rsidP="000426DA">
            <w:pPr>
              <w:pStyle w:val="Default"/>
              <w:rPr>
                <w:sz w:val="22"/>
                <w:szCs w:val="22"/>
              </w:rPr>
            </w:pPr>
            <w:r>
              <w:rPr>
                <w:sz w:val="22"/>
                <w:szCs w:val="22"/>
              </w:rPr>
              <w:lastRenderedPageBreak/>
              <w:t xml:space="preserve">Dans le cas des solides amorphes, l’empilement d’entités se fait sans ordre géométrique. C’est le cas du verre. Certaines roches volcaniques contiennent du verre, issu de la solidification très rapide d’une lave. </w:t>
            </w:r>
          </w:p>
        </w:tc>
        <w:tc>
          <w:tcPr>
            <w:tcW w:w="3151" w:type="dxa"/>
          </w:tcPr>
          <w:p w14:paraId="06A96D44" w14:textId="7650227B" w:rsidR="007C3388" w:rsidRPr="00C00448" w:rsidRDefault="007C3388" w:rsidP="000426DA">
            <w:pPr>
              <w:pStyle w:val="Default"/>
              <w:rPr>
                <w:sz w:val="22"/>
                <w:szCs w:val="22"/>
              </w:rPr>
            </w:pPr>
            <w:r>
              <w:rPr>
                <w:sz w:val="22"/>
                <w:szCs w:val="22"/>
              </w:rPr>
              <w:t xml:space="preserve">Mettre en relation la structure amorphe ou cristalline d’une roche et les conditions de son refroidissement. </w:t>
            </w:r>
          </w:p>
        </w:tc>
        <w:tc>
          <w:tcPr>
            <w:tcW w:w="2693" w:type="dxa"/>
            <w:vMerge/>
          </w:tcPr>
          <w:p w14:paraId="2CD16EB8" w14:textId="77777777" w:rsidR="007C3388" w:rsidRDefault="007C3388" w:rsidP="00C00448"/>
        </w:tc>
        <w:tc>
          <w:tcPr>
            <w:tcW w:w="2553" w:type="dxa"/>
            <w:vMerge/>
          </w:tcPr>
          <w:p w14:paraId="79915857" w14:textId="77777777" w:rsidR="007C3388" w:rsidRDefault="007C3388" w:rsidP="00C00448"/>
        </w:tc>
        <w:tc>
          <w:tcPr>
            <w:tcW w:w="2799" w:type="dxa"/>
            <w:vMerge/>
          </w:tcPr>
          <w:p w14:paraId="57F6F718" w14:textId="77777777" w:rsidR="007C3388" w:rsidRDefault="007C3388" w:rsidP="00C00448"/>
        </w:tc>
      </w:tr>
      <w:tr w:rsidR="003C0037" w14:paraId="42C1603E" w14:textId="77777777" w:rsidTr="303B7B1A">
        <w:tc>
          <w:tcPr>
            <w:tcW w:w="14566" w:type="dxa"/>
            <w:gridSpan w:val="5"/>
          </w:tcPr>
          <w:tbl>
            <w:tblPr>
              <w:tblW w:w="0" w:type="auto"/>
              <w:tblBorders>
                <w:top w:val="nil"/>
                <w:left w:val="nil"/>
                <w:bottom w:val="nil"/>
                <w:right w:val="nil"/>
              </w:tblBorders>
              <w:tblLook w:val="0000" w:firstRow="0" w:lastRow="0" w:firstColumn="0" w:lastColumn="0" w:noHBand="0" w:noVBand="0"/>
            </w:tblPr>
            <w:tblGrid>
              <w:gridCol w:w="14350"/>
            </w:tblGrid>
            <w:tr w:rsidR="003C0037" w:rsidRPr="003C0037" w14:paraId="4D76DC5C" w14:textId="77777777">
              <w:trPr>
                <w:trHeight w:val="884"/>
              </w:trPr>
              <w:tc>
                <w:tcPr>
                  <w:tcW w:w="0" w:type="auto"/>
                </w:tcPr>
                <w:p w14:paraId="2395E19C" w14:textId="77777777" w:rsidR="003C0037" w:rsidRPr="003C0037" w:rsidRDefault="003C0037" w:rsidP="003C0037">
                  <w:pPr>
                    <w:widowControl/>
                    <w:kinsoku/>
                    <w:autoSpaceDE w:val="0"/>
                    <w:autoSpaceDN w:val="0"/>
                    <w:adjustRightInd w:val="0"/>
                    <w:rPr>
                      <w:rFonts w:ascii="Arial" w:eastAsiaTheme="minorHAnsi" w:hAnsi="Arial" w:cs="Arial"/>
                      <w:color w:val="000000"/>
                      <w:sz w:val="22"/>
                      <w:szCs w:val="22"/>
                      <w:lang w:eastAsia="en-US"/>
                    </w:rPr>
                  </w:pPr>
                  <w:r w:rsidRPr="003C0037">
                    <w:rPr>
                      <w:rFonts w:ascii="Arial" w:eastAsiaTheme="minorHAnsi" w:hAnsi="Arial" w:cs="Arial"/>
                      <w:b/>
                      <w:bCs/>
                      <w:color w:val="000000"/>
                      <w:sz w:val="22"/>
                      <w:szCs w:val="22"/>
                      <w:lang w:eastAsia="en-US"/>
                    </w:rPr>
                    <w:t xml:space="preserve">Prérequis et limites </w:t>
                  </w:r>
                </w:p>
                <w:p w14:paraId="47FCEF58" w14:textId="77777777" w:rsidR="003C0037" w:rsidRPr="003C0037" w:rsidRDefault="003C0037" w:rsidP="003C0037">
                  <w:pPr>
                    <w:widowControl/>
                    <w:kinsoku/>
                    <w:autoSpaceDE w:val="0"/>
                    <w:autoSpaceDN w:val="0"/>
                    <w:adjustRightInd w:val="0"/>
                    <w:rPr>
                      <w:rFonts w:ascii="Arial" w:eastAsiaTheme="minorHAnsi" w:hAnsi="Arial" w:cs="Arial"/>
                      <w:color w:val="000000"/>
                      <w:sz w:val="22"/>
                      <w:szCs w:val="22"/>
                      <w:lang w:eastAsia="en-US"/>
                    </w:rPr>
                  </w:pPr>
                  <w:r w:rsidRPr="003C0037">
                    <w:rPr>
                      <w:rFonts w:ascii="Arial" w:eastAsiaTheme="minorHAnsi" w:hAnsi="Arial" w:cs="Arial"/>
                      <w:color w:val="000000"/>
                      <w:sz w:val="22"/>
                      <w:szCs w:val="22"/>
                      <w:lang w:eastAsia="en-US"/>
                    </w:rPr>
                    <w:t xml:space="preserve">Les notions, déjà connues, d’entité chimique, de roche et de minéral sont remobilisées. L’objectif est de présenter l’organisation de la matière propre à l’état cristallin à partir d’exemples. La diversité des systèmes cristallins et des minéraux est seulement évoquée. La description de l’état cristallin est l’occasion d’utiliser les mathématiques (géométrie du cube et de la sphère, calculs de volumes, proportions) pour décrire la nature et quantifier ses propriétés. </w:t>
                  </w:r>
                </w:p>
              </w:tc>
            </w:tr>
          </w:tbl>
          <w:p w14:paraId="02063239" w14:textId="77777777" w:rsidR="003C0037" w:rsidRDefault="003C0037" w:rsidP="00C00448"/>
        </w:tc>
      </w:tr>
      <w:tr w:rsidR="00D906D4" w14:paraId="5BB1EFE0" w14:textId="77777777" w:rsidTr="303B7B1A">
        <w:tc>
          <w:tcPr>
            <w:tcW w:w="14566" w:type="dxa"/>
            <w:gridSpan w:val="5"/>
            <w:vAlign w:val="center"/>
          </w:tcPr>
          <w:p w14:paraId="11142B54" w14:textId="2B1E035A" w:rsidR="00D906D4" w:rsidRDefault="00D906D4" w:rsidP="00D906D4">
            <w:pPr>
              <w:pStyle w:val="Paragraphedeliste"/>
              <w:numPr>
                <w:ilvl w:val="1"/>
                <w:numId w:val="2"/>
              </w:numPr>
              <w:spacing w:before="72"/>
              <w:rPr>
                <w:rFonts w:ascii="Arial" w:hAnsi="Arial" w:cs="Arial"/>
                <w:b/>
                <w:bCs/>
                <w:color w:val="17818E"/>
                <w:spacing w:val="-4"/>
                <w:w w:val="105"/>
                <w:sz w:val="22"/>
                <w:szCs w:val="22"/>
              </w:rPr>
            </w:pPr>
            <w:r w:rsidRPr="00C00448">
              <w:rPr>
                <w:rFonts w:ascii="Arial" w:hAnsi="Arial" w:cs="Arial"/>
                <w:b/>
                <w:bCs/>
                <w:color w:val="17818E"/>
                <w:spacing w:val="-4"/>
                <w:w w:val="105"/>
                <w:sz w:val="22"/>
                <w:szCs w:val="22"/>
              </w:rPr>
              <w:t xml:space="preserve">– </w:t>
            </w:r>
            <w:r>
              <w:rPr>
                <w:rFonts w:ascii="Arial" w:hAnsi="Arial" w:cs="Arial"/>
                <w:b/>
                <w:bCs/>
                <w:color w:val="17818E"/>
                <w:spacing w:val="-4"/>
                <w:w w:val="105"/>
                <w:sz w:val="22"/>
                <w:szCs w:val="22"/>
              </w:rPr>
              <w:t>Une structure complexe : la cellule vivante</w:t>
            </w:r>
          </w:p>
          <w:p w14:paraId="27AABA18" w14:textId="6C87F65C" w:rsidR="00D906D4" w:rsidRPr="00D906D4" w:rsidRDefault="00D906D4" w:rsidP="00D906D4">
            <w:pPr>
              <w:pStyle w:val="Default"/>
              <w:rPr>
                <w:sz w:val="22"/>
                <w:szCs w:val="22"/>
              </w:rPr>
            </w:pPr>
            <w:r>
              <w:rPr>
                <w:sz w:val="22"/>
                <w:szCs w:val="22"/>
              </w:rPr>
              <w:t xml:space="preserve">Dans le monde, la matière s’organise en structure d’ordre supérieur à l’échelle moléculaire. Un exemple est ici proposé : la structure cellulaire. </w:t>
            </w:r>
          </w:p>
        </w:tc>
      </w:tr>
      <w:tr w:rsidR="003C0037" w14:paraId="7037739C" w14:textId="77777777" w:rsidTr="303B7B1A">
        <w:tc>
          <w:tcPr>
            <w:tcW w:w="3370" w:type="dxa"/>
            <w:vAlign w:val="center"/>
          </w:tcPr>
          <w:p w14:paraId="66121AD1" w14:textId="4257C25B" w:rsidR="003C0037" w:rsidRDefault="003C0037" w:rsidP="003C0037">
            <w:pPr>
              <w:pStyle w:val="Default"/>
              <w:jc w:val="center"/>
              <w:rPr>
                <w:sz w:val="22"/>
                <w:szCs w:val="22"/>
              </w:rPr>
            </w:pPr>
            <w:r>
              <w:rPr>
                <w:b/>
                <w:bCs/>
                <w:sz w:val="22"/>
                <w:szCs w:val="22"/>
              </w:rPr>
              <w:t>Savoirs</w:t>
            </w:r>
          </w:p>
        </w:tc>
        <w:tc>
          <w:tcPr>
            <w:tcW w:w="3151" w:type="dxa"/>
            <w:vAlign w:val="center"/>
          </w:tcPr>
          <w:p w14:paraId="5F9BBCA2" w14:textId="3BC800B7" w:rsidR="003C0037" w:rsidRDefault="003C0037" w:rsidP="003C0037">
            <w:pPr>
              <w:pStyle w:val="Default"/>
              <w:rPr>
                <w:sz w:val="22"/>
                <w:szCs w:val="22"/>
              </w:rPr>
            </w:pPr>
            <w:r>
              <w:rPr>
                <w:b/>
                <w:bCs/>
                <w:sz w:val="22"/>
                <w:szCs w:val="22"/>
              </w:rPr>
              <w:t>Savoir-faire</w:t>
            </w:r>
          </w:p>
        </w:tc>
        <w:tc>
          <w:tcPr>
            <w:tcW w:w="2693" w:type="dxa"/>
            <w:shd w:val="clear" w:color="auto" w:fill="BDD6EE" w:themeFill="accent5" w:themeFillTint="66"/>
          </w:tcPr>
          <w:p w14:paraId="74A08497" w14:textId="2D704B76" w:rsidR="003C0037" w:rsidRDefault="003C0037" w:rsidP="003C0037">
            <w:r>
              <w:rPr>
                <w:rFonts w:asciiTheme="minorHAnsi" w:hAnsiTheme="minorHAnsi" w:cstheme="minorHAnsi"/>
                <w:b/>
              </w:rPr>
              <w:t xml:space="preserve">Capacités exigibles de seconde </w:t>
            </w:r>
            <w:proofErr w:type="spellStart"/>
            <w:r w:rsidR="00F67938">
              <w:rPr>
                <w:rFonts w:asciiTheme="minorHAnsi" w:hAnsiTheme="minorHAnsi" w:cstheme="minorHAnsi"/>
                <w:b/>
              </w:rPr>
              <w:t>remobilisables</w:t>
            </w:r>
            <w:proofErr w:type="spellEnd"/>
          </w:p>
        </w:tc>
        <w:tc>
          <w:tcPr>
            <w:tcW w:w="2553" w:type="dxa"/>
          </w:tcPr>
          <w:p w14:paraId="4D0B8AB8" w14:textId="759E197D" w:rsidR="003C0037" w:rsidRDefault="003C0037" w:rsidP="003C0037">
            <w:r w:rsidRPr="000C5D32">
              <w:rPr>
                <w:rFonts w:asciiTheme="minorHAnsi" w:hAnsiTheme="minorHAnsi" w:cstheme="minorHAnsi"/>
                <w:b/>
              </w:rPr>
              <w:t>Saut</w:t>
            </w:r>
            <w:r w:rsidR="00F67938">
              <w:rPr>
                <w:rFonts w:asciiTheme="minorHAnsi" w:hAnsiTheme="minorHAnsi" w:cstheme="minorHAnsi"/>
                <w:b/>
              </w:rPr>
              <w:t>s</w:t>
            </w:r>
            <w:r w:rsidRPr="000C5D32">
              <w:rPr>
                <w:rFonts w:asciiTheme="minorHAnsi" w:hAnsiTheme="minorHAnsi" w:cstheme="minorHAnsi"/>
                <w:b/>
              </w:rPr>
              <w:t xml:space="preserve"> conceptuel</w:t>
            </w:r>
            <w:r w:rsidR="00F67938">
              <w:rPr>
                <w:rFonts w:asciiTheme="minorHAnsi" w:hAnsiTheme="minorHAnsi" w:cstheme="minorHAnsi"/>
                <w:b/>
              </w:rPr>
              <w:t xml:space="preserve">s </w:t>
            </w:r>
            <w:r w:rsidRPr="000C5D32">
              <w:rPr>
                <w:rFonts w:asciiTheme="minorHAnsi" w:hAnsiTheme="minorHAnsi" w:cstheme="minorHAnsi"/>
                <w:b/>
              </w:rPr>
              <w:t>en première</w:t>
            </w:r>
          </w:p>
        </w:tc>
        <w:tc>
          <w:tcPr>
            <w:tcW w:w="2799" w:type="dxa"/>
          </w:tcPr>
          <w:p w14:paraId="4ED5840B" w14:textId="3197C8A9" w:rsidR="003C0037" w:rsidRDefault="003C0037" w:rsidP="003C0037">
            <w:r w:rsidRPr="007F4857">
              <w:rPr>
                <w:rFonts w:asciiTheme="minorHAnsi" w:hAnsiTheme="minorHAnsi" w:cstheme="minorHAnsi"/>
                <w:b/>
              </w:rPr>
              <w:t>Liens avec les programmes de spécialité</w:t>
            </w:r>
          </w:p>
        </w:tc>
      </w:tr>
      <w:tr w:rsidR="00B6224E" w14:paraId="4081CC36" w14:textId="77777777" w:rsidTr="303B7B1A">
        <w:tc>
          <w:tcPr>
            <w:tcW w:w="3370" w:type="dxa"/>
          </w:tcPr>
          <w:p w14:paraId="4AF83157" w14:textId="77777777" w:rsidR="00B6224E" w:rsidRDefault="00B6224E" w:rsidP="003C0037">
            <w:pPr>
              <w:pStyle w:val="Default"/>
              <w:rPr>
                <w:sz w:val="22"/>
                <w:szCs w:val="22"/>
              </w:rPr>
            </w:pPr>
            <w:r>
              <w:rPr>
                <w:sz w:val="22"/>
                <w:szCs w:val="22"/>
              </w:rPr>
              <w:t xml:space="preserve">La découverte de l’unité cellulaire est liée à l’invention du microscope. </w:t>
            </w:r>
          </w:p>
          <w:p w14:paraId="2E89BDEF" w14:textId="77777777" w:rsidR="00B6224E" w:rsidRDefault="00B6224E" w:rsidP="003C0037">
            <w:pPr>
              <w:pStyle w:val="Default"/>
              <w:rPr>
                <w:sz w:val="22"/>
                <w:szCs w:val="22"/>
              </w:rPr>
            </w:pPr>
            <w:r>
              <w:rPr>
                <w:sz w:val="22"/>
                <w:szCs w:val="22"/>
              </w:rPr>
              <w:t xml:space="preserve">L’observation de structures semblables dans de très nombreux organismes a conduit </w:t>
            </w:r>
            <w:r>
              <w:rPr>
                <w:sz w:val="22"/>
                <w:szCs w:val="22"/>
              </w:rPr>
              <w:lastRenderedPageBreak/>
              <w:t xml:space="preserve">à énoncer le concept général de cellule et à construire la théorie cellulaire. </w:t>
            </w:r>
          </w:p>
          <w:p w14:paraId="7AEBCF0C" w14:textId="75483FCE" w:rsidR="00B6224E" w:rsidRDefault="00B6224E" w:rsidP="003C0037">
            <w:pPr>
              <w:pStyle w:val="Default"/>
              <w:jc w:val="center"/>
              <w:rPr>
                <w:sz w:val="22"/>
                <w:szCs w:val="22"/>
              </w:rPr>
            </w:pPr>
            <w:r>
              <w:rPr>
                <w:sz w:val="22"/>
                <w:szCs w:val="22"/>
              </w:rPr>
              <w:t xml:space="preserve">Plus récemment, l’invention du microscope électronique a permis l’exploration de l’intérieur de la cellule et la compréhension du lien entre échelle moléculaire et cellulaire. </w:t>
            </w:r>
          </w:p>
        </w:tc>
        <w:tc>
          <w:tcPr>
            <w:tcW w:w="3151" w:type="dxa"/>
          </w:tcPr>
          <w:p w14:paraId="6FC4B4B3" w14:textId="77777777" w:rsidR="00B6224E" w:rsidRDefault="00B6224E" w:rsidP="003C0037">
            <w:pPr>
              <w:pStyle w:val="Default"/>
              <w:rPr>
                <w:sz w:val="22"/>
                <w:szCs w:val="22"/>
              </w:rPr>
            </w:pPr>
            <w:r>
              <w:rPr>
                <w:sz w:val="22"/>
                <w:szCs w:val="22"/>
              </w:rPr>
              <w:lastRenderedPageBreak/>
              <w:t xml:space="preserve">Analyser et interpréter des documents historiques relatifs à la théorie cellulaire. </w:t>
            </w:r>
          </w:p>
          <w:p w14:paraId="4372F419" w14:textId="75E2D05B" w:rsidR="00B6224E" w:rsidRDefault="00B6224E" w:rsidP="003C0037">
            <w:pPr>
              <w:pStyle w:val="Default"/>
              <w:rPr>
                <w:sz w:val="22"/>
                <w:szCs w:val="22"/>
              </w:rPr>
            </w:pPr>
            <w:r>
              <w:rPr>
                <w:sz w:val="22"/>
                <w:szCs w:val="22"/>
              </w:rPr>
              <w:t xml:space="preserve">Situer les ordres de grandeur : atome, molécule, organite, cellule, organisme. </w:t>
            </w:r>
          </w:p>
        </w:tc>
        <w:tc>
          <w:tcPr>
            <w:tcW w:w="2693" w:type="dxa"/>
            <w:vMerge w:val="restart"/>
            <w:shd w:val="clear" w:color="auto" w:fill="BDD6EE" w:themeFill="accent5" w:themeFillTint="66"/>
          </w:tcPr>
          <w:p w14:paraId="00208C6E" w14:textId="77777777" w:rsidR="00A77D6F" w:rsidRPr="008F7C00" w:rsidRDefault="00A77D6F" w:rsidP="00A77D6F">
            <w:pPr>
              <w:rPr>
                <w:rFonts w:ascii="Cambria" w:hAnsi="Cambria" w:cs="Arial"/>
                <w:b/>
                <w:sz w:val="22"/>
                <w:szCs w:val="22"/>
              </w:rPr>
            </w:pPr>
            <w:r w:rsidRPr="008F7C00">
              <w:rPr>
                <w:rFonts w:ascii="Cambria" w:hAnsi="Cambria" w:cs="Arial"/>
                <w:b/>
                <w:sz w:val="22"/>
                <w:szCs w:val="22"/>
              </w:rPr>
              <w:t xml:space="preserve">SVT </w:t>
            </w:r>
          </w:p>
          <w:p w14:paraId="7BB7FDA6" w14:textId="77777777" w:rsidR="00A77D6F" w:rsidRPr="007F5404" w:rsidRDefault="00A77D6F" w:rsidP="00A77D6F">
            <w:pPr>
              <w:rPr>
                <w:rFonts w:ascii="Cambria" w:hAnsi="Cambria" w:cs="Arial"/>
                <w:color w:val="538135" w:themeColor="accent6" w:themeShade="BF"/>
                <w:sz w:val="22"/>
                <w:szCs w:val="22"/>
              </w:rPr>
            </w:pPr>
            <w:r w:rsidRPr="007F5404">
              <w:rPr>
                <w:rFonts w:ascii="Cambria" w:hAnsi="Cambria" w:cs="Arial"/>
                <w:color w:val="538135" w:themeColor="accent6" w:themeShade="BF"/>
                <w:sz w:val="22"/>
                <w:szCs w:val="22"/>
              </w:rPr>
              <w:t xml:space="preserve">Chez les organismes unicellulaires, toutes les fonctions sont assurées par une seule cellule. Chez </w:t>
            </w:r>
            <w:r w:rsidRPr="007F5404">
              <w:rPr>
                <w:rFonts w:ascii="Cambria" w:hAnsi="Cambria" w:cs="Arial"/>
                <w:color w:val="538135" w:themeColor="accent6" w:themeShade="BF"/>
                <w:sz w:val="22"/>
                <w:szCs w:val="22"/>
              </w:rPr>
              <w:lastRenderedPageBreak/>
              <w:t>les organismes pluricellulaires, les organes sont constitués de cellules spécialisées formant des tissus, et assurant des fonctions particulières.</w:t>
            </w:r>
          </w:p>
          <w:p w14:paraId="5C8AB128" w14:textId="77777777" w:rsidR="00A77D6F" w:rsidRPr="007F5404" w:rsidRDefault="00A77D6F" w:rsidP="00A77D6F">
            <w:pPr>
              <w:rPr>
                <w:rFonts w:ascii="Cambria" w:hAnsi="Cambria" w:cs="Arial"/>
                <w:color w:val="538135" w:themeColor="accent6" w:themeShade="BF"/>
                <w:sz w:val="22"/>
                <w:szCs w:val="22"/>
              </w:rPr>
            </w:pPr>
          </w:p>
          <w:p w14:paraId="24A5B754" w14:textId="77777777" w:rsidR="00A77D6F" w:rsidRPr="007F5404" w:rsidRDefault="00A77D6F" w:rsidP="00A77D6F">
            <w:pPr>
              <w:widowControl/>
              <w:kinsoku/>
              <w:autoSpaceDE w:val="0"/>
              <w:autoSpaceDN w:val="0"/>
              <w:adjustRightInd w:val="0"/>
              <w:spacing w:after="10"/>
              <w:rPr>
                <w:rFonts w:ascii="Cambria" w:eastAsiaTheme="minorHAnsi" w:hAnsi="Cambria" w:cs="Arial"/>
                <w:color w:val="538135" w:themeColor="accent6" w:themeShade="BF"/>
                <w:sz w:val="22"/>
                <w:szCs w:val="22"/>
                <w:lang w:eastAsia="en-US"/>
              </w:rPr>
            </w:pPr>
            <w:r w:rsidRPr="007F5404">
              <w:rPr>
                <w:rFonts w:ascii="Cambria" w:eastAsiaTheme="minorHAnsi" w:hAnsi="Cambria" w:cs="Arial"/>
                <w:color w:val="538135" w:themeColor="accent6" w:themeShade="BF"/>
                <w:sz w:val="22"/>
                <w:szCs w:val="22"/>
                <w:lang w:eastAsia="en-US"/>
              </w:rPr>
              <w:t xml:space="preserve">Réaliser et /ou observer des préparations microscopiques montrant des cellules animales ou végétales. </w:t>
            </w:r>
          </w:p>
          <w:p w14:paraId="0476C73E" w14:textId="77777777" w:rsidR="00A77D6F" w:rsidRPr="007F5404" w:rsidRDefault="00A77D6F" w:rsidP="00A77D6F">
            <w:pPr>
              <w:widowControl/>
              <w:kinsoku/>
              <w:autoSpaceDE w:val="0"/>
              <w:autoSpaceDN w:val="0"/>
              <w:adjustRightInd w:val="0"/>
              <w:rPr>
                <w:rFonts w:ascii="Cambria" w:eastAsiaTheme="minorHAnsi" w:hAnsi="Cambria" w:cs="Arial"/>
                <w:color w:val="538135" w:themeColor="accent6" w:themeShade="BF"/>
                <w:sz w:val="22"/>
                <w:szCs w:val="22"/>
                <w:lang w:eastAsia="en-US"/>
              </w:rPr>
            </w:pPr>
            <w:r w:rsidRPr="007F5404">
              <w:rPr>
                <w:rFonts w:ascii="Cambria" w:eastAsiaTheme="minorHAnsi" w:hAnsi="Cambria" w:cs="Arial"/>
                <w:b/>
                <w:bCs/>
                <w:color w:val="538135" w:themeColor="accent6" w:themeShade="BF"/>
                <w:sz w:val="22"/>
                <w:szCs w:val="22"/>
                <w:lang w:eastAsia="en-US"/>
              </w:rPr>
              <w:t xml:space="preserve">- </w:t>
            </w:r>
            <w:r w:rsidRPr="007F5404">
              <w:rPr>
                <w:rFonts w:ascii="Cambria" w:eastAsiaTheme="minorHAnsi" w:hAnsi="Cambria" w:cs="Arial"/>
                <w:color w:val="538135" w:themeColor="accent6" w:themeShade="BF"/>
                <w:sz w:val="22"/>
                <w:szCs w:val="22"/>
                <w:lang w:eastAsia="en-US"/>
              </w:rPr>
              <w:t xml:space="preserve">Observer et analyser des images de microscopie électronique. </w:t>
            </w:r>
          </w:p>
          <w:p w14:paraId="5BC65210" w14:textId="77777777" w:rsidR="00A77D6F" w:rsidRPr="007F5404" w:rsidRDefault="00A77D6F" w:rsidP="00A77D6F">
            <w:pPr>
              <w:widowControl/>
              <w:kinsoku/>
              <w:autoSpaceDE w:val="0"/>
              <w:autoSpaceDN w:val="0"/>
              <w:adjustRightInd w:val="0"/>
              <w:rPr>
                <w:rFonts w:ascii="Cambria" w:eastAsiaTheme="minorHAnsi" w:hAnsi="Cambria" w:cs="Arial"/>
                <w:color w:val="538135" w:themeColor="accent6" w:themeShade="BF"/>
                <w:sz w:val="22"/>
                <w:szCs w:val="22"/>
                <w:lang w:eastAsia="en-US"/>
              </w:rPr>
            </w:pPr>
          </w:p>
          <w:p w14:paraId="62472706" w14:textId="77777777" w:rsidR="00A77D6F" w:rsidRPr="007F5404" w:rsidRDefault="00A77D6F" w:rsidP="00A77D6F">
            <w:pPr>
              <w:widowControl/>
              <w:kinsoku/>
              <w:autoSpaceDE w:val="0"/>
              <w:autoSpaceDN w:val="0"/>
              <w:adjustRightInd w:val="0"/>
              <w:rPr>
                <w:rFonts w:ascii="Cambria" w:eastAsiaTheme="minorHAnsi" w:hAnsi="Cambria" w:cs="Arial"/>
                <w:color w:val="538135" w:themeColor="accent6" w:themeShade="BF"/>
                <w:sz w:val="22"/>
                <w:szCs w:val="22"/>
                <w:lang w:eastAsia="en-US"/>
              </w:rPr>
            </w:pPr>
            <w:r w:rsidRPr="007F5404">
              <w:rPr>
                <w:rFonts w:ascii="Cambria" w:eastAsiaTheme="minorHAnsi" w:hAnsi="Cambria" w:cs="Arial"/>
                <w:color w:val="538135" w:themeColor="accent6" w:themeShade="BF"/>
                <w:sz w:val="22"/>
                <w:szCs w:val="22"/>
                <w:lang w:eastAsia="en-US"/>
              </w:rPr>
              <w:t xml:space="preserve">Distinguer les différentes échelles du vivant (molécules, cellules, tissus, organes, organisme) en donnant l’ordre de grandeur de leur taille. </w:t>
            </w:r>
          </w:p>
          <w:p w14:paraId="53D4F232" w14:textId="77777777" w:rsidR="008F7C00" w:rsidRPr="008F7C00" w:rsidRDefault="008F7C00" w:rsidP="008F7C00">
            <w:pPr>
              <w:widowControl/>
              <w:kinsoku/>
              <w:autoSpaceDE w:val="0"/>
              <w:autoSpaceDN w:val="0"/>
              <w:adjustRightInd w:val="0"/>
              <w:rPr>
                <w:rFonts w:ascii="Cambria" w:eastAsiaTheme="minorHAnsi" w:hAnsi="Cambria" w:cs="Arial"/>
                <w:color w:val="000000"/>
                <w:sz w:val="22"/>
                <w:szCs w:val="22"/>
                <w:lang w:eastAsia="en-US"/>
              </w:rPr>
            </w:pPr>
          </w:p>
          <w:p w14:paraId="08714A62" w14:textId="77777777" w:rsidR="008F7C00" w:rsidRPr="008F7C00" w:rsidRDefault="008F7C00" w:rsidP="008F7C00">
            <w:pPr>
              <w:widowControl/>
              <w:kinsoku/>
              <w:autoSpaceDE w:val="0"/>
              <w:autoSpaceDN w:val="0"/>
              <w:adjustRightInd w:val="0"/>
              <w:rPr>
                <w:rFonts w:ascii="Cambria" w:eastAsiaTheme="minorHAnsi" w:hAnsi="Cambria" w:cs="Arial"/>
                <w:color w:val="000000"/>
                <w:sz w:val="22"/>
                <w:szCs w:val="22"/>
                <w:lang w:eastAsia="en-US"/>
              </w:rPr>
            </w:pPr>
          </w:p>
          <w:p w14:paraId="2C0B3CEC" w14:textId="18200E78" w:rsidR="008F7C00" w:rsidRPr="008F7C00" w:rsidRDefault="008F7C00" w:rsidP="00A77D6F">
            <w:pPr>
              <w:widowControl/>
              <w:kinsoku/>
              <w:autoSpaceDE w:val="0"/>
              <w:autoSpaceDN w:val="0"/>
              <w:adjustRightInd w:val="0"/>
            </w:pPr>
          </w:p>
        </w:tc>
        <w:tc>
          <w:tcPr>
            <w:tcW w:w="2553" w:type="dxa"/>
            <w:vMerge w:val="restart"/>
          </w:tcPr>
          <w:p w14:paraId="462CFB68" w14:textId="77777777" w:rsidR="00B6224E" w:rsidRDefault="00B6224E" w:rsidP="003C0037"/>
        </w:tc>
        <w:tc>
          <w:tcPr>
            <w:tcW w:w="2799" w:type="dxa"/>
            <w:vMerge w:val="restart"/>
          </w:tcPr>
          <w:p w14:paraId="46B59E2C" w14:textId="77777777" w:rsidR="00B6224E" w:rsidRDefault="00B6224E" w:rsidP="003C0037"/>
        </w:tc>
      </w:tr>
      <w:tr w:rsidR="00B6224E" w14:paraId="405581AC" w14:textId="77777777" w:rsidTr="303B7B1A">
        <w:tc>
          <w:tcPr>
            <w:tcW w:w="3370" w:type="dxa"/>
          </w:tcPr>
          <w:p w14:paraId="36EB33E9" w14:textId="25158823" w:rsidR="00B6224E" w:rsidRDefault="00B6224E" w:rsidP="003C0037">
            <w:pPr>
              <w:pStyle w:val="Default"/>
              <w:jc w:val="center"/>
              <w:rPr>
                <w:sz w:val="22"/>
                <w:szCs w:val="22"/>
              </w:rPr>
            </w:pPr>
            <w:r>
              <w:rPr>
                <w:sz w:val="22"/>
                <w:szCs w:val="22"/>
              </w:rPr>
              <w:t xml:space="preserve">La cellule est un espace séparé de l’extérieur par une membrane plasmique. Cette membrane est constituée d’une bicouche lipidique et de protéines. La structure membranaire est stabilisée par le caractère hydrophile ou lipophile de certaines parties des molécules constitutives. </w:t>
            </w:r>
          </w:p>
        </w:tc>
        <w:tc>
          <w:tcPr>
            <w:tcW w:w="3151" w:type="dxa"/>
          </w:tcPr>
          <w:p w14:paraId="46145B77" w14:textId="77777777" w:rsidR="00B6224E" w:rsidRDefault="00B6224E" w:rsidP="003C0037">
            <w:pPr>
              <w:pStyle w:val="Default"/>
              <w:rPr>
                <w:sz w:val="22"/>
                <w:szCs w:val="22"/>
              </w:rPr>
            </w:pPr>
            <w:r>
              <w:rPr>
                <w:sz w:val="22"/>
                <w:szCs w:val="22"/>
              </w:rPr>
              <w:t xml:space="preserve">Relier l’échelle de la cellule et celle de la molécule (exemple de la membrane plasmique). </w:t>
            </w:r>
          </w:p>
          <w:p w14:paraId="78334BA1" w14:textId="1605B947" w:rsidR="00B6224E" w:rsidRDefault="00B6224E" w:rsidP="003C0037">
            <w:pPr>
              <w:pStyle w:val="Default"/>
              <w:rPr>
                <w:sz w:val="22"/>
                <w:szCs w:val="22"/>
              </w:rPr>
            </w:pPr>
            <w:r>
              <w:rPr>
                <w:sz w:val="22"/>
                <w:szCs w:val="22"/>
              </w:rPr>
              <w:t xml:space="preserve">Schématiser la membrane plasmique à partir de molécules dont les parties hydrophile/lipophile sont identifiées. </w:t>
            </w:r>
          </w:p>
        </w:tc>
        <w:tc>
          <w:tcPr>
            <w:tcW w:w="2693" w:type="dxa"/>
            <w:vMerge/>
          </w:tcPr>
          <w:p w14:paraId="62E96575" w14:textId="77777777" w:rsidR="00B6224E" w:rsidRDefault="00B6224E" w:rsidP="003C0037"/>
        </w:tc>
        <w:tc>
          <w:tcPr>
            <w:tcW w:w="2553" w:type="dxa"/>
            <w:vMerge/>
          </w:tcPr>
          <w:p w14:paraId="2EE63104" w14:textId="77777777" w:rsidR="00B6224E" w:rsidRDefault="00B6224E" w:rsidP="003C0037"/>
        </w:tc>
        <w:tc>
          <w:tcPr>
            <w:tcW w:w="2799" w:type="dxa"/>
            <w:vMerge/>
          </w:tcPr>
          <w:p w14:paraId="4FF3356D" w14:textId="77777777" w:rsidR="00B6224E" w:rsidRDefault="00B6224E" w:rsidP="003C0037"/>
        </w:tc>
      </w:tr>
      <w:bookmarkEnd w:id="0"/>
    </w:tbl>
    <w:p w14:paraId="010DA12A" w14:textId="214FD4C6" w:rsidR="00455303" w:rsidRDefault="00455303" w:rsidP="003D64B8">
      <w:pPr>
        <w:tabs>
          <w:tab w:val="left" w:pos="1216"/>
        </w:tabs>
      </w:pPr>
    </w:p>
    <w:p w14:paraId="0EA27CF6" w14:textId="77777777" w:rsidR="00455303" w:rsidRDefault="00455303">
      <w:pPr>
        <w:widowControl/>
        <w:kinsoku/>
        <w:spacing w:after="160" w:line="259" w:lineRule="auto"/>
      </w:pPr>
      <w:r>
        <w:br w:type="page"/>
      </w:r>
    </w:p>
    <w:p w14:paraId="55A11FDA" w14:textId="77777777" w:rsidR="00C00448" w:rsidRDefault="00C00448" w:rsidP="003D64B8">
      <w:pPr>
        <w:tabs>
          <w:tab w:val="left" w:pos="1216"/>
        </w:tabs>
      </w:pPr>
    </w:p>
    <w:tbl>
      <w:tblPr>
        <w:tblStyle w:val="Grilledutableau"/>
        <w:tblW w:w="14601" w:type="dxa"/>
        <w:tblInd w:w="-572" w:type="dxa"/>
        <w:tblLook w:val="04A0" w:firstRow="1" w:lastRow="0" w:firstColumn="1" w:lastColumn="0" w:noHBand="0" w:noVBand="1"/>
      </w:tblPr>
      <w:tblGrid>
        <w:gridCol w:w="3402"/>
        <w:gridCol w:w="2987"/>
        <w:gridCol w:w="2830"/>
        <w:gridCol w:w="2405"/>
        <w:gridCol w:w="2977"/>
      </w:tblGrid>
      <w:tr w:rsidR="003D64B8" w14:paraId="745CB05D" w14:textId="77777777" w:rsidTr="3B1F6B6C">
        <w:tc>
          <w:tcPr>
            <w:tcW w:w="14601" w:type="dxa"/>
            <w:gridSpan w:val="5"/>
            <w:shd w:val="clear" w:color="auto" w:fill="297C8D"/>
          </w:tcPr>
          <w:p w14:paraId="07416F6F" w14:textId="341EB8D4" w:rsidR="003D64B8" w:rsidRDefault="003D64B8" w:rsidP="0071240D">
            <w:r w:rsidRPr="003D64B8">
              <w:rPr>
                <w:rFonts w:ascii="Arial" w:hAnsi="Arial" w:cs="Arial"/>
                <w:b/>
                <w:bCs/>
                <w:color w:val="FFFFFF" w:themeColor="background1"/>
                <w:spacing w:val="-1"/>
                <w:w w:val="105"/>
                <w:sz w:val="22"/>
                <w:szCs w:val="22"/>
              </w:rPr>
              <w:t>2 – Le soleil</w:t>
            </w:r>
            <w:r>
              <w:rPr>
                <w:rFonts w:ascii="Arial" w:hAnsi="Arial" w:cs="Arial"/>
                <w:b/>
                <w:bCs/>
                <w:color w:val="FFFFFF" w:themeColor="background1"/>
                <w:spacing w:val="-1"/>
                <w:w w:val="105"/>
                <w:sz w:val="22"/>
                <w:szCs w:val="22"/>
              </w:rPr>
              <w:t>,</w:t>
            </w:r>
            <w:r w:rsidRPr="003D64B8">
              <w:rPr>
                <w:rFonts w:ascii="Arial" w:hAnsi="Arial" w:cs="Arial"/>
                <w:b/>
                <w:bCs/>
                <w:color w:val="FFFFFF" w:themeColor="background1"/>
                <w:spacing w:val="-1"/>
                <w:w w:val="105"/>
                <w:sz w:val="22"/>
                <w:szCs w:val="22"/>
              </w:rPr>
              <w:t xml:space="preserve"> notre source d’énergie</w:t>
            </w:r>
          </w:p>
        </w:tc>
      </w:tr>
      <w:tr w:rsidR="003D64B8" w:rsidRPr="00665303" w14:paraId="0EEF35DE" w14:textId="77777777" w:rsidTr="3B1F6B6C">
        <w:tc>
          <w:tcPr>
            <w:tcW w:w="14601" w:type="dxa"/>
            <w:gridSpan w:val="5"/>
          </w:tcPr>
          <w:p w14:paraId="22E6E516" w14:textId="19E90B98" w:rsidR="003D64B8" w:rsidRPr="00665303" w:rsidRDefault="003D64B8" w:rsidP="0071240D">
            <w:pPr>
              <w:pStyle w:val="Default"/>
              <w:rPr>
                <w:sz w:val="22"/>
                <w:szCs w:val="22"/>
              </w:rPr>
            </w:pPr>
            <w:r w:rsidRPr="003D64B8">
              <w:rPr>
                <w:sz w:val="22"/>
                <w:szCs w:val="22"/>
              </w:rPr>
              <w:t>La Terre reçoit l’essentiel de son énergie du Soleil. Cette énergie conditionne la température de surface de la Terre et détermine climats et saisons. Elle permet la photosynthèse des végétaux et se transmet par la nutrition à d’autres êtres vivants.</w:t>
            </w:r>
          </w:p>
        </w:tc>
      </w:tr>
      <w:tr w:rsidR="003D64B8" w14:paraId="64C12F07" w14:textId="77777777" w:rsidTr="3B1F6B6C">
        <w:tc>
          <w:tcPr>
            <w:tcW w:w="14601" w:type="dxa"/>
            <w:gridSpan w:val="5"/>
          </w:tcPr>
          <w:p w14:paraId="3C706A08" w14:textId="77777777" w:rsidR="003D64B8" w:rsidRPr="003D5958" w:rsidRDefault="003D64B8" w:rsidP="003D64B8">
            <w:pPr>
              <w:pStyle w:val="Default"/>
              <w:rPr>
                <w:sz w:val="22"/>
                <w:szCs w:val="22"/>
              </w:rPr>
            </w:pPr>
            <w:r w:rsidRPr="003D5958">
              <w:rPr>
                <w:b/>
                <w:bCs/>
                <w:sz w:val="22"/>
                <w:szCs w:val="22"/>
              </w:rPr>
              <w:t xml:space="preserve">Histoire, enjeux, débats </w:t>
            </w:r>
          </w:p>
          <w:p w14:paraId="3FA077F8" w14:textId="77777777" w:rsidR="003D64B8" w:rsidRPr="003D5958" w:rsidRDefault="003D64B8" w:rsidP="003D64B8">
            <w:pPr>
              <w:pStyle w:val="Default"/>
              <w:rPr>
                <w:sz w:val="20"/>
                <w:szCs w:val="22"/>
              </w:rPr>
            </w:pPr>
            <w:r w:rsidRPr="003D5958">
              <w:rPr>
                <w:sz w:val="20"/>
                <w:szCs w:val="22"/>
              </w:rPr>
              <w:t xml:space="preserve">Repères historiques sur l’étude du rayonnement thermique (Stefan, Boltzmann, Planck, Einstein). </w:t>
            </w:r>
          </w:p>
          <w:p w14:paraId="0A272E61" w14:textId="77777777" w:rsidR="003D64B8" w:rsidRPr="003D5958" w:rsidRDefault="003D64B8" w:rsidP="003D64B8">
            <w:pPr>
              <w:pStyle w:val="Default"/>
              <w:rPr>
                <w:sz w:val="22"/>
                <w:szCs w:val="22"/>
              </w:rPr>
            </w:pPr>
            <w:r w:rsidRPr="003D5958">
              <w:rPr>
                <w:sz w:val="20"/>
                <w:szCs w:val="22"/>
              </w:rPr>
              <w:t xml:space="preserve">Le discours sur l’énergie </w:t>
            </w:r>
            <w:r w:rsidRPr="003D5958">
              <w:rPr>
                <w:sz w:val="22"/>
                <w:szCs w:val="22"/>
              </w:rPr>
              <w:t xml:space="preserve">dans la société : analyse critique du vocabulaire d’usage courant (énergie fossile, énergie renouvelable, etc.). </w:t>
            </w:r>
          </w:p>
          <w:p w14:paraId="1C2AE514" w14:textId="77777777" w:rsidR="003D64B8" w:rsidRPr="003D5958" w:rsidRDefault="003D64B8" w:rsidP="003D64B8">
            <w:pPr>
              <w:pStyle w:val="Default"/>
              <w:rPr>
                <w:sz w:val="22"/>
                <w:szCs w:val="22"/>
              </w:rPr>
            </w:pPr>
            <w:r w:rsidRPr="003D5958">
              <w:rPr>
                <w:sz w:val="22"/>
                <w:szCs w:val="22"/>
              </w:rPr>
              <w:t xml:space="preserve">L’albédo terrestre : un paramètre climatique majeur. </w:t>
            </w:r>
          </w:p>
          <w:p w14:paraId="1EB6C570" w14:textId="0B12FA19" w:rsidR="003D64B8" w:rsidRPr="003D64B8" w:rsidRDefault="003D64B8" w:rsidP="003D64B8">
            <w:pPr>
              <w:rPr>
                <w:rFonts w:ascii="Arial" w:hAnsi="Arial" w:cs="Arial"/>
              </w:rPr>
            </w:pPr>
            <w:r w:rsidRPr="003D5958">
              <w:rPr>
                <w:rFonts w:ascii="Arial" w:hAnsi="Arial" w:cs="Arial"/>
                <w:sz w:val="22"/>
                <w:szCs w:val="22"/>
              </w:rPr>
              <w:t>Distinction météorologie/climatologie.</w:t>
            </w:r>
            <w:r w:rsidRPr="003D64B8">
              <w:rPr>
                <w:rFonts w:ascii="Arial" w:hAnsi="Arial" w:cs="Arial"/>
                <w:sz w:val="22"/>
                <w:szCs w:val="22"/>
              </w:rPr>
              <w:t xml:space="preserve"> </w:t>
            </w:r>
          </w:p>
        </w:tc>
      </w:tr>
      <w:tr w:rsidR="003D64B8" w14:paraId="4496E912" w14:textId="77777777" w:rsidTr="3B1F6B6C">
        <w:tc>
          <w:tcPr>
            <w:tcW w:w="14601" w:type="dxa"/>
            <w:gridSpan w:val="5"/>
          </w:tcPr>
          <w:p w14:paraId="62361B79" w14:textId="7DE08AA5" w:rsidR="003D64B8" w:rsidRDefault="003D64B8" w:rsidP="0071240D">
            <w:pPr>
              <w:spacing w:before="72"/>
              <w:ind w:left="34"/>
              <w:rPr>
                <w:rFonts w:ascii="Arial" w:hAnsi="Arial" w:cs="Arial"/>
                <w:b/>
                <w:bCs/>
                <w:color w:val="17818E"/>
                <w:spacing w:val="-4"/>
                <w:w w:val="105"/>
                <w:sz w:val="22"/>
                <w:szCs w:val="22"/>
              </w:rPr>
            </w:pPr>
            <w:r>
              <w:rPr>
                <w:rFonts w:ascii="Arial" w:hAnsi="Arial" w:cs="Arial"/>
                <w:b/>
                <w:bCs/>
                <w:color w:val="17818E"/>
                <w:spacing w:val="-4"/>
                <w:w w:val="105"/>
                <w:sz w:val="22"/>
                <w:szCs w:val="22"/>
              </w:rPr>
              <w:t>2.1 – Le rayonnement solaire</w:t>
            </w:r>
          </w:p>
          <w:p w14:paraId="50C8DB6E" w14:textId="3F4125FE" w:rsidR="003D64B8" w:rsidRPr="003D64B8" w:rsidRDefault="003D64B8" w:rsidP="0071240D">
            <w:pPr>
              <w:rPr>
                <w:rFonts w:ascii="Arial" w:hAnsi="Arial" w:cs="Arial"/>
              </w:rPr>
            </w:pPr>
            <w:r w:rsidRPr="003D64B8">
              <w:rPr>
                <w:rFonts w:ascii="Arial" w:hAnsi="Arial" w:cs="Arial"/>
              </w:rPr>
              <w:t>Le soleil transmet à la Terre de l’énergie par rayonnement.</w:t>
            </w:r>
          </w:p>
        </w:tc>
      </w:tr>
      <w:tr w:rsidR="00FB4468" w:rsidRPr="007F4857" w14:paraId="21341938" w14:textId="77777777" w:rsidTr="3B1F6B6C">
        <w:tc>
          <w:tcPr>
            <w:tcW w:w="3402" w:type="dxa"/>
            <w:tcBorders>
              <w:top w:val="single" w:sz="4" w:space="0" w:color="auto"/>
              <w:left w:val="single" w:sz="4" w:space="0" w:color="auto"/>
              <w:bottom w:val="single" w:sz="4" w:space="0" w:color="auto"/>
              <w:right w:val="single" w:sz="4" w:space="0" w:color="auto"/>
            </w:tcBorders>
            <w:vAlign w:val="center"/>
          </w:tcPr>
          <w:p w14:paraId="6C7836C5" w14:textId="77777777" w:rsidR="003D64B8" w:rsidRDefault="003D64B8" w:rsidP="0071240D">
            <w:r>
              <w:rPr>
                <w:rFonts w:ascii="Arial" w:hAnsi="Arial" w:cs="Arial"/>
                <w:b/>
                <w:bCs/>
                <w:sz w:val="22"/>
                <w:szCs w:val="22"/>
              </w:rPr>
              <w:t>Savoirs</w:t>
            </w:r>
          </w:p>
        </w:tc>
        <w:tc>
          <w:tcPr>
            <w:tcW w:w="2987" w:type="dxa"/>
            <w:tcBorders>
              <w:top w:val="single" w:sz="4" w:space="0" w:color="auto"/>
              <w:left w:val="single" w:sz="4" w:space="0" w:color="auto"/>
              <w:bottom w:val="single" w:sz="4" w:space="0" w:color="auto"/>
              <w:right w:val="single" w:sz="4" w:space="0" w:color="auto"/>
            </w:tcBorders>
            <w:vAlign w:val="center"/>
          </w:tcPr>
          <w:p w14:paraId="5ADA1E99" w14:textId="77777777" w:rsidR="003D64B8" w:rsidRDefault="003D64B8" w:rsidP="0071240D">
            <w:r>
              <w:rPr>
                <w:rFonts w:ascii="Arial" w:hAnsi="Arial" w:cs="Arial"/>
                <w:b/>
                <w:bCs/>
                <w:sz w:val="22"/>
                <w:szCs w:val="22"/>
              </w:rPr>
              <w:t>Savoir-faire</w:t>
            </w:r>
          </w:p>
        </w:tc>
        <w:tc>
          <w:tcPr>
            <w:tcW w:w="2830" w:type="dxa"/>
            <w:shd w:val="clear" w:color="auto" w:fill="BDD6EE" w:themeFill="accent5" w:themeFillTint="66"/>
          </w:tcPr>
          <w:p w14:paraId="7CD4B74F" w14:textId="75770C19" w:rsidR="003D64B8" w:rsidRDefault="003D64B8" w:rsidP="0071240D">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405" w:type="dxa"/>
          </w:tcPr>
          <w:p w14:paraId="078948D7" w14:textId="7C632DB7" w:rsidR="003D64B8" w:rsidRDefault="003D64B8" w:rsidP="0071240D">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s</w:t>
            </w:r>
            <w:r w:rsidRPr="000C5D32">
              <w:rPr>
                <w:rFonts w:asciiTheme="minorHAnsi" w:hAnsiTheme="minorHAnsi" w:cstheme="minorHAnsi"/>
                <w:b/>
              </w:rPr>
              <w:t xml:space="preserve"> en première</w:t>
            </w:r>
          </w:p>
        </w:tc>
        <w:tc>
          <w:tcPr>
            <w:tcW w:w="2977" w:type="dxa"/>
          </w:tcPr>
          <w:p w14:paraId="38BC0C64" w14:textId="77777777" w:rsidR="003D64B8" w:rsidRPr="007F4857" w:rsidRDefault="003D64B8" w:rsidP="0071240D">
            <w:pPr>
              <w:rPr>
                <w:rFonts w:asciiTheme="minorHAnsi" w:hAnsiTheme="minorHAnsi" w:cstheme="minorHAnsi"/>
                <w:b/>
              </w:rPr>
            </w:pPr>
            <w:r w:rsidRPr="007F4857">
              <w:rPr>
                <w:rFonts w:asciiTheme="minorHAnsi" w:hAnsiTheme="minorHAnsi" w:cstheme="minorHAnsi"/>
                <w:b/>
              </w:rPr>
              <w:t>Liens avec les programmes de spécialité</w:t>
            </w:r>
          </w:p>
        </w:tc>
      </w:tr>
      <w:tr w:rsidR="00B6224E" w14:paraId="0D07EB17" w14:textId="77777777" w:rsidTr="3B1F6B6C">
        <w:tc>
          <w:tcPr>
            <w:tcW w:w="3402" w:type="dxa"/>
          </w:tcPr>
          <w:p w14:paraId="59A87DA8" w14:textId="77777777" w:rsidR="00B6224E" w:rsidRPr="003D5958" w:rsidRDefault="00B6224E" w:rsidP="003D64B8">
            <w:pPr>
              <w:pStyle w:val="Default"/>
              <w:rPr>
                <w:sz w:val="22"/>
                <w:szCs w:val="22"/>
              </w:rPr>
            </w:pPr>
            <w:r>
              <w:rPr>
                <w:sz w:val="22"/>
                <w:szCs w:val="22"/>
              </w:rPr>
              <w:t xml:space="preserve">L’énergie dégagée par les réactions de fusion de l’hydrogène qui se produisent dans les étoiles les maintient à </w:t>
            </w:r>
            <w:r w:rsidRPr="003D5958">
              <w:rPr>
                <w:sz w:val="22"/>
                <w:szCs w:val="22"/>
              </w:rPr>
              <w:t xml:space="preserve">une température très élevée. </w:t>
            </w:r>
          </w:p>
          <w:p w14:paraId="2FE9830E" w14:textId="77777777" w:rsidR="00B6224E" w:rsidRPr="003D5958" w:rsidRDefault="00B6224E" w:rsidP="003D64B8">
            <w:pPr>
              <w:pStyle w:val="Default"/>
              <w:rPr>
                <w:sz w:val="22"/>
                <w:szCs w:val="22"/>
              </w:rPr>
            </w:pPr>
            <w:r w:rsidRPr="003D5958">
              <w:rPr>
                <w:sz w:val="22"/>
                <w:szCs w:val="22"/>
              </w:rPr>
              <w:t xml:space="preserve">Du fait de l’équivalence masse-énergie (relation d’Einstein), ces réactions s’accompagnent d’une diminution de la masse solaire au cours du temps. </w:t>
            </w:r>
          </w:p>
          <w:p w14:paraId="2C556E94" w14:textId="77777777" w:rsidR="00B6224E" w:rsidRPr="003D5958" w:rsidRDefault="00B6224E" w:rsidP="003D64B8">
            <w:pPr>
              <w:pStyle w:val="Default"/>
              <w:rPr>
                <w:sz w:val="22"/>
                <w:szCs w:val="22"/>
              </w:rPr>
            </w:pPr>
            <w:r w:rsidRPr="003D5958">
              <w:rPr>
                <w:sz w:val="22"/>
                <w:szCs w:val="22"/>
              </w:rPr>
              <w:t xml:space="preserve">Comme tous les corps matériels, les étoiles et le Soleil émettent des ondes électromagnétiques et donc perdent de l’énergie par rayonnement. </w:t>
            </w:r>
          </w:p>
          <w:p w14:paraId="647FE9F9" w14:textId="77777777" w:rsidR="00B6224E" w:rsidRPr="003D5958" w:rsidRDefault="00B6224E" w:rsidP="003D64B8">
            <w:pPr>
              <w:pStyle w:val="Default"/>
              <w:rPr>
                <w:sz w:val="22"/>
                <w:szCs w:val="22"/>
              </w:rPr>
            </w:pPr>
            <w:r w:rsidRPr="003D5958">
              <w:rPr>
                <w:sz w:val="22"/>
                <w:szCs w:val="22"/>
              </w:rPr>
              <w:t xml:space="preserve">Le spectre du rayonnement émis par la surface (modélisé par un spectre de </w:t>
            </w:r>
            <w:r w:rsidRPr="003D5958">
              <w:rPr>
                <w:i/>
                <w:iCs/>
                <w:sz w:val="22"/>
                <w:szCs w:val="22"/>
              </w:rPr>
              <w:t>corps noir</w:t>
            </w:r>
            <w:r w:rsidRPr="003D5958">
              <w:rPr>
                <w:sz w:val="22"/>
                <w:szCs w:val="22"/>
              </w:rPr>
              <w:t xml:space="preserve">) dépend seulement de la </w:t>
            </w:r>
            <w:r w:rsidRPr="003D5958">
              <w:rPr>
                <w:sz w:val="22"/>
                <w:szCs w:val="22"/>
              </w:rPr>
              <w:lastRenderedPageBreak/>
              <w:t xml:space="preserve">température de surface de l’étoile. </w:t>
            </w:r>
          </w:p>
          <w:p w14:paraId="66B8385B" w14:textId="1A3FD6DE" w:rsidR="00B6224E" w:rsidRDefault="00B6224E" w:rsidP="003D64B8">
            <w:r w:rsidRPr="003D5958">
              <w:rPr>
                <w:rFonts w:ascii="Arial" w:hAnsi="Arial" w:cs="Arial"/>
                <w:sz w:val="22"/>
                <w:szCs w:val="22"/>
              </w:rPr>
              <w:t>La longueur d’onde d’émission maximale est inversement proportionnelle à la température absolue de la surface de l’étoile (loi de Wien).</w:t>
            </w:r>
            <w:r>
              <w:rPr>
                <w:sz w:val="22"/>
                <w:szCs w:val="22"/>
              </w:rPr>
              <w:t xml:space="preserve"> </w:t>
            </w:r>
          </w:p>
        </w:tc>
        <w:tc>
          <w:tcPr>
            <w:tcW w:w="2987" w:type="dxa"/>
          </w:tcPr>
          <w:p w14:paraId="1E22BB39" w14:textId="77777777" w:rsidR="00B6224E" w:rsidRPr="003D5958" w:rsidRDefault="00B6224E" w:rsidP="003D64B8">
            <w:pPr>
              <w:pStyle w:val="Default"/>
              <w:rPr>
                <w:sz w:val="22"/>
                <w:szCs w:val="22"/>
              </w:rPr>
            </w:pPr>
            <w:r>
              <w:rPr>
                <w:sz w:val="22"/>
                <w:szCs w:val="22"/>
              </w:rPr>
              <w:lastRenderedPageBreak/>
              <w:t xml:space="preserve">Déterminer la masse solaire transformée chaque seconde en énergie à partir de la donnée de la </w:t>
            </w:r>
            <w:r w:rsidRPr="003D5958">
              <w:rPr>
                <w:sz w:val="22"/>
                <w:szCs w:val="22"/>
              </w:rPr>
              <w:t xml:space="preserve">puissance rayonnée par le Soleil. </w:t>
            </w:r>
          </w:p>
          <w:p w14:paraId="35753281" w14:textId="77777777" w:rsidR="00B6224E" w:rsidRPr="003D5958" w:rsidRDefault="00B6224E" w:rsidP="003D64B8">
            <w:pPr>
              <w:pStyle w:val="Default"/>
              <w:rPr>
                <w:sz w:val="22"/>
                <w:szCs w:val="22"/>
              </w:rPr>
            </w:pPr>
            <w:r w:rsidRPr="003D5958">
              <w:rPr>
                <w:sz w:val="22"/>
                <w:szCs w:val="22"/>
              </w:rPr>
              <w:t xml:space="preserve">À partir d’une représentation graphique du spectre d’émission du corps noir à une température donnée, déterminer la longueur d’onde d’émission maximale. </w:t>
            </w:r>
          </w:p>
          <w:p w14:paraId="4456F20B" w14:textId="6C1F4C90" w:rsidR="00B6224E" w:rsidRDefault="00B6224E" w:rsidP="003D64B8">
            <w:r w:rsidRPr="003D5958">
              <w:rPr>
                <w:rFonts w:ascii="Arial" w:hAnsi="Arial" w:cs="Arial"/>
                <w:sz w:val="22"/>
                <w:szCs w:val="22"/>
              </w:rPr>
              <w:t>Appliquer la loi de Wien pour déterminer la température de surface d’une étoile à partir de la longueur d’onde d’émission maximale.</w:t>
            </w:r>
            <w:r>
              <w:rPr>
                <w:sz w:val="22"/>
                <w:szCs w:val="22"/>
              </w:rPr>
              <w:t xml:space="preserve"> </w:t>
            </w:r>
          </w:p>
        </w:tc>
        <w:tc>
          <w:tcPr>
            <w:tcW w:w="2830" w:type="dxa"/>
            <w:vMerge w:val="restart"/>
            <w:shd w:val="clear" w:color="auto" w:fill="BDD6EE" w:themeFill="accent5" w:themeFillTint="66"/>
          </w:tcPr>
          <w:p w14:paraId="4B449FF2" w14:textId="77777777" w:rsidR="00B6224E" w:rsidRPr="003D5958" w:rsidRDefault="00B6224E" w:rsidP="003D5958">
            <w:pPr>
              <w:rPr>
                <w:rFonts w:ascii="Cambria" w:hAnsi="Cambria"/>
                <w:b/>
                <w:sz w:val="22"/>
                <w:szCs w:val="22"/>
              </w:rPr>
            </w:pPr>
            <w:r w:rsidRPr="003D5958">
              <w:rPr>
                <w:rFonts w:ascii="Cambria" w:hAnsi="Cambria"/>
                <w:b/>
                <w:sz w:val="22"/>
                <w:szCs w:val="22"/>
              </w:rPr>
              <w:t>Physique-chimie :</w:t>
            </w:r>
          </w:p>
          <w:p w14:paraId="22B8EDA5" w14:textId="214BF48E" w:rsidR="00B6224E" w:rsidRPr="003D5958" w:rsidRDefault="0E3BE76E" w:rsidP="003D5958">
            <w:pPr>
              <w:pStyle w:val="Default"/>
              <w:rPr>
                <w:rFonts w:ascii="Cambria" w:hAnsi="Cambria"/>
                <w:sz w:val="22"/>
                <w:szCs w:val="22"/>
              </w:rPr>
            </w:pPr>
            <w:r w:rsidRPr="0E3BE76E">
              <w:rPr>
                <w:rFonts w:ascii="Cambria" w:hAnsi="Cambria"/>
                <w:sz w:val="22"/>
                <w:szCs w:val="22"/>
              </w:rPr>
              <w:t xml:space="preserve">Relier l’énergie convertie dans le Soleil et dans une centrale nucléaire à des réactions nucléaires. </w:t>
            </w:r>
          </w:p>
          <w:p w14:paraId="65DB1F06" w14:textId="588563ED" w:rsidR="0E3BE76E" w:rsidRDefault="0E3BE76E" w:rsidP="0E3BE76E">
            <w:pPr>
              <w:pStyle w:val="Default"/>
              <w:rPr>
                <w:rFonts w:ascii="Cambria" w:hAnsi="Cambria"/>
                <w:sz w:val="22"/>
                <w:szCs w:val="22"/>
              </w:rPr>
            </w:pPr>
          </w:p>
          <w:p w14:paraId="6DBE014D" w14:textId="77777777" w:rsidR="00B6224E" w:rsidRPr="003D5958" w:rsidRDefault="0E3BE76E" w:rsidP="003D5958">
            <w:pPr>
              <w:pStyle w:val="Default"/>
              <w:rPr>
                <w:rFonts w:ascii="Cambria" w:hAnsi="Cambria"/>
                <w:sz w:val="22"/>
                <w:szCs w:val="22"/>
              </w:rPr>
            </w:pPr>
            <w:r w:rsidRPr="0E3BE76E">
              <w:rPr>
                <w:rFonts w:ascii="Cambria" w:hAnsi="Cambria"/>
                <w:sz w:val="22"/>
                <w:szCs w:val="22"/>
              </w:rPr>
              <w:t>Lumière blanche, lumière colorée. Spectres d’émission : spectres continus d’origine thermique, spectres de raies.</w:t>
            </w:r>
          </w:p>
          <w:p w14:paraId="2BB7D426" w14:textId="6BF0E7F7" w:rsidR="0E3BE76E" w:rsidRDefault="0E3BE76E" w:rsidP="0E3BE76E">
            <w:pPr>
              <w:pStyle w:val="Default"/>
              <w:rPr>
                <w:rFonts w:ascii="Cambria" w:hAnsi="Cambria"/>
                <w:sz w:val="22"/>
                <w:szCs w:val="22"/>
              </w:rPr>
            </w:pPr>
          </w:p>
          <w:p w14:paraId="7F8E182F" w14:textId="2C8CAD0F" w:rsidR="00B6224E" w:rsidRPr="003D5958" w:rsidRDefault="00B6224E" w:rsidP="003D5958">
            <w:pPr>
              <w:pStyle w:val="Default"/>
              <w:rPr>
                <w:rFonts w:ascii="Cambria" w:hAnsi="Cambria"/>
                <w:sz w:val="22"/>
                <w:szCs w:val="22"/>
              </w:rPr>
            </w:pPr>
            <w:r w:rsidRPr="003D5958">
              <w:rPr>
                <w:rFonts w:ascii="Cambria" w:hAnsi="Cambria"/>
                <w:sz w:val="22"/>
                <w:szCs w:val="22"/>
              </w:rPr>
              <w:t>Longueur d’onde dans le vide ou dans l’air.</w:t>
            </w:r>
          </w:p>
          <w:p w14:paraId="6152EC3A" w14:textId="77777777" w:rsidR="00B6224E" w:rsidRPr="003D5958" w:rsidRDefault="00B6224E" w:rsidP="003D5958">
            <w:pPr>
              <w:pStyle w:val="Default"/>
              <w:rPr>
                <w:rFonts w:ascii="Cambria" w:hAnsi="Cambria"/>
                <w:sz w:val="22"/>
                <w:szCs w:val="22"/>
              </w:rPr>
            </w:pPr>
          </w:p>
          <w:p w14:paraId="1096583D" w14:textId="77777777" w:rsidR="00B6224E" w:rsidRPr="003D5958" w:rsidRDefault="00B6224E" w:rsidP="003D5958">
            <w:pPr>
              <w:pStyle w:val="Default"/>
              <w:rPr>
                <w:rFonts w:ascii="Cambria" w:hAnsi="Cambria"/>
                <w:sz w:val="22"/>
                <w:szCs w:val="22"/>
              </w:rPr>
            </w:pPr>
            <w:r w:rsidRPr="003D5958">
              <w:rPr>
                <w:rFonts w:ascii="Cambria" w:hAnsi="Cambria"/>
                <w:sz w:val="22"/>
                <w:szCs w:val="22"/>
              </w:rPr>
              <w:t xml:space="preserve">Caractériser le spectre du rayonnement émis par un corps chaud. </w:t>
            </w:r>
          </w:p>
          <w:p w14:paraId="72C3D840" w14:textId="77777777" w:rsidR="00B6224E" w:rsidRPr="003D5958" w:rsidRDefault="00B6224E" w:rsidP="003D5958">
            <w:pPr>
              <w:pStyle w:val="Default"/>
              <w:rPr>
                <w:rFonts w:ascii="Cambria" w:hAnsi="Cambria"/>
                <w:sz w:val="22"/>
                <w:szCs w:val="22"/>
              </w:rPr>
            </w:pPr>
            <w:r w:rsidRPr="003D5958">
              <w:rPr>
                <w:rFonts w:ascii="Cambria" w:hAnsi="Cambria"/>
                <w:sz w:val="22"/>
                <w:szCs w:val="22"/>
              </w:rPr>
              <w:lastRenderedPageBreak/>
              <w:t xml:space="preserve">Caractériser un rayonnement monochromatique par sa longueur d’onde dans le vide ou dans l’air. </w:t>
            </w:r>
          </w:p>
          <w:p w14:paraId="0717017D" w14:textId="77777777" w:rsidR="00B6224E" w:rsidRDefault="00B6224E" w:rsidP="003D5958">
            <w:pPr>
              <w:rPr>
                <w:sz w:val="22"/>
                <w:szCs w:val="22"/>
              </w:rPr>
            </w:pPr>
            <w:r w:rsidRPr="003D5958">
              <w:rPr>
                <w:rFonts w:ascii="Cambria" w:hAnsi="Cambria"/>
                <w:sz w:val="22"/>
                <w:szCs w:val="22"/>
              </w:rPr>
              <w:t>Exploiter un spectre de raies.</w:t>
            </w:r>
            <w:r>
              <w:rPr>
                <w:sz w:val="22"/>
                <w:szCs w:val="22"/>
              </w:rPr>
              <w:t xml:space="preserve"> </w:t>
            </w:r>
          </w:p>
          <w:p w14:paraId="6A3C4656" w14:textId="77777777" w:rsidR="00B6224E" w:rsidRDefault="00B6224E" w:rsidP="003D5958"/>
          <w:p w14:paraId="2212176D" w14:textId="20C3EAEF" w:rsidR="00B6224E" w:rsidRPr="00850F0D" w:rsidRDefault="4FDC3B84" w:rsidP="4FDC3B84">
            <w:pPr>
              <w:rPr>
                <w:i/>
                <w:iCs/>
              </w:rPr>
            </w:pPr>
            <w:r w:rsidRPr="4FDC3B84">
              <w:rPr>
                <w:i/>
                <w:iCs/>
              </w:rPr>
              <w:t>La relation entre la puissance et l’énergie est étudiée au collège.</w:t>
            </w:r>
          </w:p>
          <w:p w14:paraId="1E83809A" w14:textId="7221EE6D" w:rsidR="00B6224E" w:rsidRPr="00850F0D" w:rsidRDefault="00B6224E" w:rsidP="4FDC3B84">
            <w:pPr>
              <w:rPr>
                <w:i/>
                <w:iCs/>
              </w:rPr>
            </w:pPr>
          </w:p>
          <w:p w14:paraId="7CBA896D" w14:textId="670E07E1" w:rsidR="00B6224E" w:rsidRPr="00850F0D" w:rsidRDefault="4FDC3B84" w:rsidP="4FDC3B84">
            <w:pPr>
              <w:rPr>
                <w:rFonts w:ascii="Cambria Math" w:eastAsia="Cambria Math" w:hAnsi="Cambria Math" w:cs="Cambria Math"/>
                <w:b/>
                <w:bCs/>
              </w:rPr>
            </w:pPr>
            <w:r w:rsidRPr="4FDC3B84">
              <w:rPr>
                <w:rFonts w:ascii="Cambria Math" w:eastAsia="Cambria Math" w:hAnsi="Cambria Math" w:cs="Cambria Math"/>
                <w:b/>
                <w:bCs/>
              </w:rPr>
              <w:t xml:space="preserve">Mathématiques : </w:t>
            </w:r>
          </w:p>
          <w:p w14:paraId="390A3069" w14:textId="52980947" w:rsidR="00B6224E" w:rsidRPr="00850F0D" w:rsidRDefault="4FDC3B84" w:rsidP="4FDC3B84">
            <w:pPr>
              <w:rPr>
                <w:rFonts w:ascii="Cambria Math" w:eastAsia="Cambria Math" w:hAnsi="Cambria Math" w:cs="Cambria Math"/>
              </w:rPr>
            </w:pPr>
            <w:r w:rsidRPr="4FDC3B84">
              <w:rPr>
                <w:rFonts w:ascii="Cambria Math" w:eastAsia="Cambria Math" w:hAnsi="Cambria Math" w:cs="Cambria Math"/>
              </w:rPr>
              <w:t>Géométrie de la sphère</w:t>
            </w:r>
          </w:p>
          <w:p w14:paraId="66036398" w14:textId="158ECD1C" w:rsidR="00B6224E" w:rsidRPr="00850F0D" w:rsidRDefault="4FDC3B84" w:rsidP="4FDC3B84">
            <w:pPr>
              <w:rPr>
                <w:rFonts w:ascii="Cambria Math" w:eastAsia="Cambria Math" w:hAnsi="Cambria Math" w:cs="Cambria Math"/>
              </w:rPr>
            </w:pPr>
            <w:r w:rsidRPr="4FDC3B84">
              <w:rPr>
                <w:rFonts w:ascii="Cambria Math" w:eastAsia="Cambria Math" w:hAnsi="Cambria Math" w:cs="Cambria Math"/>
              </w:rPr>
              <w:t>Repérage à la surface de la sphère (cycle 4)</w:t>
            </w:r>
          </w:p>
          <w:p w14:paraId="2E5E7208" w14:textId="03A50AE3" w:rsidR="00B6224E" w:rsidRPr="00850F0D" w:rsidRDefault="4FDC3B84" w:rsidP="4FDC3B84">
            <w:pPr>
              <w:rPr>
                <w:rFonts w:ascii="Cambria Math" w:eastAsia="Cambria Math" w:hAnsi="Cambria Math" w:cs="Cambria Math"/>
              </w:rPr>
            </w:pPr>
            <w:r w:rsidRPr="4FDC3B84">
              <w:rPr>
                <w:rFonts w:ascii="Cambria Math" w:eastAsia="Cambria Math" w:hAnsi="Cambria Math" w:cs="Cambria Math"/>
              </w:rPr>
              <w:t>Relations angulaires dans le plan</w:t>
            </w:r>
          </w:p>
          <w:p w14:paraId="04334B11" w14:textId="2EB7CF35" w:rsidR="00B6224E" w:rsidRPr="00850F0D" w:rsidRDefault="4FDC3B84" w:rsidP="4FDC3B84">
            <w:pPr>
              <w:rPr>
                <w:rFonts w:ascii="Cambria Math" w:eastAsia="Cambria Math" w:hAnsi="Cambria Math" w:cs="Cambria Math"/>
              </w:rPr>
            </w:pPr>
            <w:r w:rsidRPr="4FDC3B84">
              <w:rPr>
                <w:rFonts w:ascii="Cambria Math" w:eastAsia="Cambria Math" w:hAnsi="Cambria Math" w:cs="Cambria Math"/>
              </w:rPr>
              <w:t>Trigonométrie</w:t>
            </w:r>
          </w:p>
          <w:p w14:paraId="2967429C" w14:textId="169AB359" w:rsidR="00B6224E" w:rsidRDefault="3B1F6B6C" w:rsidP="3B1F6B6C">
            <w:pPr>
              <w:pStyle w:val="Default"/>
              <w:rPr>
                <w:rFonts w:ascii="Cambria" w:hAnsi="Cambria"/>
                <w:i/>
                <w:iCs/>
                <w:sz w:val="22"/>
                <w:szCs w:val="22"/>
              </w:rPr>
            </w:pPr>
            <w:r w:rsidRPr="3B1F6B6C">
              <w:rPr>
                <w:rFonts w:ascii="Cambria" w:hAnsi="Cambria"/>
                <w:i/>
                <w:iCs/>
                <w:sz w:val="22"/>
                <w:szCs w:val="22"/>
              </w:rPr>
              <w:t>Logiciel de géométrie dynamique (2D et 3D)</w:t>
            </w:r>
          </w:p>
          <w:p w14:paraId="47DF29AF" w14:textId="574EFBEF" w:rsidR="00A77D6F" w:rsidRDefault="00A77D6F" w:rsidP="3B1F6B6C">
            <w:pPr>
              <w:pStyle w:val="Default"/>
              <w:rPr>
                <w:rFonts w:ascii="Cambria" w:hAnsi="Cambria"/>
                <w:b/>
                <w:bCs/>
                <w:i/>
                <w:iCs/>
                <w:sz w:val="22"/>
                <w:szCs w:val="22"/>
              </w:rPr>
            </w:pPr>
          </w:p>
          <w:p w14:paraId="0C23E61B" w14:textId="77777777" w:rsidR="00A77D6F" w:rsidRPr="00850F0D" w:rsidRDefault="00A77D6F" w:rsidP="3B1F6B6C">
            <w:pPr>
              <w:pStyle w:val="Default"/>
              <w:rPr>
                <w:rFonts w:ascii="Cambria" w:hAnsi="Cambria"/>
                <w:b/>
                <w:bCs/>
                <w:i/>
                <w:iCs/>
                <w:sz w:val="22"/>
                <w:szCs w:val="22"/>
              </w:rPr>
            </w:pPr>
          </w:p>
          <w:p w14:paraId="58BFC0B2" w14:textId="77777777" w:rsidR="00A77D6F" w:rsidRDefault="00A77D6F" w:rsidP="00A77D6F">
            <w:pPr>
              <w:pStyle w:val="Default"/>
              <w:rPr>
                <w:rFonts w:ascii="Cambria" w:hAnsi="Cambria"/>
                <w:b/>
                <w:iCs/>
                <w:color w:val="538135" w:themeColor="accent6" w:themeShade="BF"/>
                <w:sz w:val="22"/>
                <w:szCs w:val="22"/>
              </w:rPr>
            </w:pPr>
            <w:r>
              <w:rPr>
                <w:rFonts w:ascii="Cambria" w:hAnsi="Cambria"/>
                <w:b/>
                <w:iCs/>
                <w:color w:val="538135" w:themeColor="accent6" w:themeShade="BF"/>
                <w:sz w:val="22"/>
                <w:szCs w:val="22"/>
              </w:rPr>
              <w:t xml:space="preserve">SVT : </w:t>
            </w:r>
          </w:p>
          <w:p w14:paraId="4F505351" w14:textId="77777777" w:rsidR="00A77D6F" w:rsidRDefault="00A77D6F" w:rsidP="00A77D6F">
            <w:pPr>
              <w:pStyle w:val="Default"/>
              <w:rPr>
                <w:rFonts w:ascii="Cambria" w:hAnsi="Cambria"/>
                <w:iCs/>
                <w:color w:val="538135" w:themeColor="accent6" w:themeShade="BF"/>
                <w:sz w:val="22"/>
                <w:szCs w:val="22"/>
              </w:rPr>
            </w:pPr>
            <w:r>
              <w:rPr>
                <w:rFonts w:ascii="Cambria" w:hAnsi="Cambria"/>
                <w:iCs/>
                <w:color w:val="538135" w:themeColor="accent6" w:themeShade="BF"/>
                <w:sz w:val="22"/>
                <w:szCs w:val="22"/>
              </w:rPr>
              <w:t>L’étude de quelques réactions du métabolisme dont la photosynthèse révèle que les êtres vivants échangent de la matière et de l’énergie avec leur environnement</w:t>
            </w:r>
          </w:p>
          <w:p w14:paraId="56907AEB" w14:textId="22F3C839" w:rsidR="00B6224E" w:rsidRPr="00850F0D" w:rsidRDefault="00B6224E" w:rsidP="4FDC3B84">
            <w:pPr>
              <w:rPr>
                <w:b/>
                <w:bCs/>
              </w:rPr>
            </w:pPr>
          </w:p>
        </w:tc>
        <w:tc>
          <w:tcPr>
            <w:tcW w:w="2405" w:type="dxa"/>
            <w:vMerge w:val="restart"/>
          </w:tcPr>
          <w:p w14:paraId="314B27B8" w14:textId="3587BE68" w:rsidR="00B6224E" w:rsidRPr="00850F0D" w:rsidRDefault="00B6224E" w:rsidP="003D64B8">
            <w:pPr>
              <w:rPr>
                <w:rFonts w:ascii="Cambria" w:hAnsi="Cambria"/>
              </w:rPr>
            </w:pPr>
            <w:r w:rsidRPr="00850F0D">
              <w:rPr>
                <w:rFonts w:ascii="Cambria" w:hAnsi="Cambria"/>
              </w:rPr>
              <w:lastRenderedPageBreak/>
              <w:t xml:space="preserve">On enrichit la notion de spectre </w:t>
            </w:r>
            <w:r>
              <w:rPr>
                <w:rFonts w:ascii="Cambria" w:hAnsi="Cambria"/>
              </w:rPr>
              <w:t xml:space="preserve">lumineux </w:t>
            </w:r>
            <w:r w:rsidRPr="00850F0D">
              <w:rPr>
                <w:rFonts w:ascii="Cambria" w:hAnsi="Cambria"/>
              </w:rPr>
              <w:t>en modélisant le rayonnement émis par une étoile par le rayonnement d’un corps noir. La loi de Wien permet de faire le lien entre longueur d’onde d’émission maximale et la température du corps noir.</w:t>
            </w:r>
          </w:p>
          <w:p w14:paraId="404F15E5" w14:textId="77777777" w:rsidR="00B6224E" w:rsidRDefault="00B6224E" w:rsidP="003D64B8"/>
          <w:p w14:paraId="7FC86AED" w14:textId="2B3F8E9E" w:rsidR="00B6224E" w:rsidRDefault="00B6224E" w:rsidP="003D64B8"/>
        </w:tc>
        <w:tc>
          <w:tcPr>
            <w:tcW w:w="2977" w:type="dxa"/>
            <w:vMerge w:val="restart"/>
          </w:tcPr>
          <w:p w14:paraId="2A5E7460" w14:textId="77777777" w:rsidR="00B6224E" w:rsidRPr="00675A6E" w:rsidRDefault="00B6224E" w:rsidP="003D64B8">
            <w:pPr>
              <w:rPr>
                <w:rFonts w:ascii="Cambria" w:hAnsi="Cambria"/>
                <w:sz w:val="22"/>
                <w:szCs w:val="22"/>
              </w:rPr>
            </w:pPr>
            <w:r w:rsidRPr="00675A6E">
              <w:rPr>
                <w:rFonts w:ascii="Cambria" w:hAnsi="Cambria"/>
                <w:b/>
                <w:sz w:val="22"/>
                <w:szCs w:val="22"/>
              </w:rPr>
              <w:t>Physique-chimie</w:t>
            </w:r>
            <w:r w:rsidRPr="00675A6E">
              <w:rPr>
                <w:rFonts w:ascii="Cambria" w:hAnsi="Cambria"/>
                <w:sz w:val="22"/>
                <w:szCs w:val="22"/>
              </w:rPr>
              <w:t> :</w:t>
            </w:r>
          </w:p>
          <w:p w14:paraId="029E3168" w14:textId="77777777" w:rsidR="00B6224E" w:rsidRPr="00675A6E" w:rsidRDefault="00B6224E" w:rsidP="000C4BE4">
            <w:pPr>
              <w:rPr>
                <w:rFonts w:ascii="Cambria" w:hAnsi="Cambria"/>
                <w:sz w:val="22"/>
                <w:szCs w:val="22"/>
              </w:rPr>
            </w:pPr>
            <w:r w:rsidRPr="00675A6E">
              <w:rPr>
                <w:rFonts w:ascii="Cambria" w:hAnsi="Cambria"/>
                <w:sz w:val="22"/>
                <w:szCs w:val="22"/>
              </w:rPr>
              <w:t>Domaines des ondes électromagnétiques.</w:t>
            </w:r>
          </w:p>
          <w:p w14:paraId="7ED7B4DA" w14:textId="77777777" w:rsidR="00B6224E" w:rsidRPr="00675A6E" w:rsidRDefault="00B6224E" w:rsidP="000C4BE4">
            <w:pPr>
              <w:rPr>
                <w:rFonts w:ascii="Cambria" w:hAnsi="Cambria"/>
                <w:sz w:val="22"/>
                <w:szCs w:val="22"/>
              </w:rPr>
            </w:pPr>
            <w:r w:rsidRPr="00675A6E">
              <w:rPr>
                <w:rFonts w:ascii="Cambria" w:hAnsi="Cambria"/>
                <w:sz w:val="22"/>
                <w:szCs w:val="22"/>
              </w:rPr>
              <w:t>Relation entre longueur d’onde, célérité de la lumière et fréquence.</w:t>
            </w:r>
          </w:p>
          <w:p w14:paraId="63147FBE" w14:textId="77777777" w:rsidR="00B6224E" w:rsidRPr="00675A6E" w:rsidRDefault="00B6224E" w:rsidP="000C4BE4">
            <w:pPr>
              <w:rPr>
                <w:rFonts w:ascii="Cambria" w:hAnsi="Cambria"/>
                <w:sz w:val="22"/>
                <w:szCs w:val="22"/>
              </w:rPr>
            </w:pPr>
          </w:p>
          <w:p w14:paraId="09B76222" w14:textId="77777777" w:rsidR="00B6224E" w:rsidRPr="00675A6E" w:rsidRDefault="00B6224E" w:rsidP="000C4BE4">
            <w:pPr>
              <w:rPr>
                <w:rFonts w:ascii="Cambria" w:hAnsi="Cambria"/>
                <w:sz w:val="22"/>
                <w:szCs w:val="22"/>
              </w:rPr>
            </w:pPr>
            <w:r w:rsidRPr="00675A6E">
              <w:rPr>
                <w:rFonts w:ascii="Cambria" w:hAnsi="Cambria"/>
                <w:sz w:val="22"/>
                <w:szCs w:val="22"/>
              </w:rPr>
              <w:t>Utiliser une échelle de fréquences ou de longueurs d’onde pour identifier un domaine spectral.</w:t>
            </w:r>
          </w:p>
          <w:p w14:paraId="1490307F" w14:textId="77777777" w:rsidR="00B6224E" w:rsidRPr="00675A6E" w:rsidRDefault="00B6224E" w:rsidP="000C4BE4">
            <w:pPr>
              <w:rPr>
                <w:rFonts w:ascii="Cambria" w:hAnsi="Cambria"/>
                <w:sz w:val="22"/>
                <w:szCs w:val="22"/>
              </w:rPr>
            </w:pPr>
            <w:r w:rsidRPr="00675A6E">
              <w:rPr>
                <w:rFonts w:ascii="Cambria" w:hAnsi="Cambria"/>
                <w:sz w:val="22"/>
                <w:szCs w:val="22"/>
              </w:rPr>
              <w:t xml:space="preserve">Citer l’ordre de grandeur des fréquences ou des longueurs d’onde des ondes électromagnétiques utilisées dans divers domaines d’application (imagerie médicale, optique visible, signaux wifi, micro-ondes, </w:t>
            </w:r>
            <w:r w:rsidRPr="00675A6E">
              <w:rPr>
                <w:rFonts w:ascii="Cambria" w:hAnsi="Cambria"/>
                <w:sz w:val="22"/>
                <w:szCs w:val="22"/>
              </w:rPr>
              <w:lastRenderedPageBreak/>
              <w:t>etc.).</w:t>
            </w:r>
          </w:p>
          <w:p w14:paraId="13132338" w14:textId="77777777" w:rsidR="00B6224E" w:rsidRPr="00675A6E" w:rsidRDefault="00B6224E" w:rsidP="000C4BE4">
            <w:pPr>
              <w:rPr>
                <w:rFonts w:ascii="Cambria" w:hAnsi="Cambria"/>
                <w:sz w:val="22"/>
                <w:szCs w:val="22"/>
              </w:rPr>
            </w:pPr>
          </w:p>
          <w:p w14:paraId="029C5367" w14:textId="77777777" w:rsidR="00B6224E" w:rsidRPr="00675A6E" w:rsidRDefault="00B6224E" w:rsidP="00675A6E">
            <w:pPr>
              <w:rPr>
                <w:rFonts w:ascii="Cambria" w:hAnsi="Cambria"/>
                <w:sz w:val="22"/>
                <w:szCs w:val="22"/>
              </w:rPr>
            </w:pPr>
            <w:r w:rsidRPr="00675A6E">
              <w:rPr>
                <w:rFonts w:ascii="Cambria" w:hAnsi="Cambria"/>
                <w:sz w:val="22"/>
                <w:szCs w:val="22"/>
              </w:rPr>
              <w:t>Le photon. Énergie d’un photon.</w:t>
            </w:r>
          </w:p>
          <w:p w14:paraId="42383E35" w14:textId="77777777" w:rsidR="00B6224E" w:rsidRPr="00675A6E" w:rsidRDefault="00B6224E" w:rsidP="00675A6E">
            <w:pPr>
              <w:rPr>
                <w:rFonts w:ascii="Cambria" w:hAnsi="Cambria"/>
                <w:sz w:val="22"/>
                <w:szCs w:val="22"/>
              </w:rPr>
            </w:pPr>
            <w:r w:rsidRPr="00675A6E">
              <w:rPr>
                <w:rFonts w:ascii="Cambria" w:hAnsi="Cambria"/>
                <w:sz w:val="22"/>
                <w:szCs w:val="22"/>
              </w:rPr>
              <w:t>Description qualitative de l’interaction lumière-matière : absorption et émission.</w:t>
            </w:r>
          </w:p>
          <w:p w14:paraId="3FB22DBE" w14:textId="77777777" w:rsidR="00B6224E" w:rsidRPr="00675A6E" w:rsidRDefault="00B6224E" w:rsidP="00675A6E">
            <w:pPr>
              <w:rPr>
                <w:rFonts w:ascii="Cambria" w:hAnsi="Cambria"/>
                <w:sz w:val="22"/>
                <w:szCs w:val="22"/>
              </w:rPr>
            </w:pPr>
            <w:r w:rsidRPr="00675A6E">
              <w:rPr>
                <w:rFonts w:ascii="Cambria" w:hAnsi="Cambria"/>
                <w:sz w:val="22"/>
                <w:szCs w:val="22"/>
              </w:rPr>
              <w:t>Quantification des niveaux d’énergie des atomes.</w:t>
            </w:r>
          </w:p>
          <w:p w14:paraId="3A086B27" w14:textId="77777777" w:rsidR="00B6224E" w:rsidRPr="00675A6E" w:rsidRDefault="00B6224E" w:rsidP="00675A6E">
            <w:pPr>
              <w:rPr>
                <w:rFonts w:ascii="Cambria" w:hAnsi="Cambria"/>
                <w:sz w:val="22"/>
                <w:szCs w:val="22"/>
              </w:rPr>
            </w:pPr>
          </w:p>
          <w:p w14:paraId="6643CAFF" w14:textId="77777777" w:rsidR="00B6224E" w:rsidRPr="00675A6E" w:rsidRDefault="00B6224E" w:rsidP="00675A6E">
            <w:pPr>
              <w:rPr>
                <w:rFonts w:ascii="Cambria" w:hAnsi="Cambria"/>
                <w:sz w:val="22"/>
                <w:szCs w:val="22"/>
              </w:rPr>
            </w:pPr>
            <w:r w:rsidRPr="00675A6E">
              <w:rPr>
                <w:rFonts w:ascii="Cambria" w:hAnsi="Cambria"/>
                <w:sz w:val="22"/>
                <w:szCs w:val="22"/>
              </w:rPr>
              <w:t>Utiliser l’expression donnant l’énergie d’un photon.</w:t>
            </w:r>
          </w:p>
          <w:p w14:paraId="51CF7BEA" w14:textId="7DEA539D" w:rsidR="00B6224E" w:rsidRPr="00675A6E" w:rsidRDefault="0E3BE76E" w:rsidP="0E3BE76E">
            <w:pPr>
              <w:rPr>
                <w:rFonts w:ascii="Cambria" w:hAnsi="Cambria"/>
                <w:sz w:val="22"/>
                <w:szCs w:val="22"/>
              </w:rPr>
            </w:pPr>
            <w:r w:rsidRPr="0E3BE76E">
              <w:rPr>
                <w:rFonts w:ascii="Cambria" w:hAnsi="Cambria"/>
                <w:sz w:val="22"/>
                <w:szCs w:val="22"/>
              </w:rPr>
              <w:t>Exploiter un diagramme de niveaux d'énergie en utilisant les relations               λ = c / ѵ et ΔE = h ѵ.</w:t>
            </w:r>
          </w:p>
          <w:p w14:paraId="46BAF2F8" w14:textId="1FD1B3B3" w:rsidR="00B6224E" w:rsidRPr="00675A6E" w:rsidRDefault="00B6224E" w:rsidP="00675A6E">
            <w:pPr>
              <w:rPr>
                <w:rFonts w:ascii="Cambria" w:hAnsi="Cambria"/>
                <w:sz w:val="22"/>
                <w:szCs w:val="22"/>
              </w:rPr>
            </w:pPr>
            <w:r w:rsidRPr="00675A6E">
              <w:rPr>
                <w:rFonts w:ascii="Cambria" w:hAnsi="Cambria"/>
                <w:sz w:val="22"/>
                <w:szCs w:val="22"/>
              </w:rPr>
              <w:t>Obtenir le spectre d’une source spectrale et l’interpréter à partir du diagramme de niveaux d’énergie des entités qui la constituent.</w:t>
            </w:r>
          </w:p>
        </w:tc>
      </w:tr>
      <w:tr w:rsidR="00B6224E" w14:paraId="51281062" w14:textId="77777777" w:rsidTr="3B1F6B6C">
        <w:tc>
          <w:tcPr>
            <w:tcW w:w="3402" w:type="dxa"/>
          </w:tcPr>
          <w:p w14:paraId="07C91804" w14:textId="77777777" w:rsidR="00B6224E" w:rsidRDefault="00B6224E" w:rsidP="003D64B8">
            <w:pPr>
              <w:pStyle w:val="Default"/>
              <w:rPr>
                <w:sz w:val="22"/>
                <w:szCs w:val="22"/>
              </w:rPr>
            </w:pPr>
            <w:r>
              <w:rPr>
                <w:sz w:val="22"/>
                <w:szCs w:val="22"/>
              </w:rPr>
              <w:lastRenderedPageBreak/>
              <w:t xml:space="preserve">La puissance radiative reçue du Soleil par une surface plane est proportionnelle à l’aire de la surface et dépend de l’angle entre la normale à la surface et la direction du Soleil. </w:t>
            </w:r>
          </w:p>
          <w:p w14:paraId="48AB13EA" w14:textId="77777777" w:rsidR="00B6224E" w:rsidRDefault="00B6224E" w:rsidP="003D64B8">
            <w:pPr>
              <w:pStyle w:val="Default"/>
              <w:rPr>
                <w:sz w:val="22"/>
                <w:szCs w:val="22"/>
              </w:rPr>
            </w:pPr>
            <w:r>
              <w:rPr>
                <w:sz w:val="22"/>
                <w:szCs w:val="22"/>
              </w:rPr>
              <w:t xml:space="preserve">De ce fait, la puissance solaire reçue par unité de surface terrestre dépend : </w:t>
            </w:r>
          </w:p>
          <w:p w14:paraId="6627D644" w14:textId="77777777" w:rsidR="00B6224E" w:rsidRDefault="00B6224E" w:rsidP="003D64B8">
            <w:pPr>
              <w:pStyle w:val="Default"/>
              <w:rPr>
                <w:sz w:val="22"/>
                <w:szCs w:val="22"/>
              </w:rPr>
            </w:pPr>
            <w:r>
              <w:rPr>
                <w:rFonts w:ascii="Calibri" w:hAnsi="Calibri" w:cs="Calibri"/>
                <w:b/>
                <w:bCs/>
                <w:sz w:val="23"/>
                <w:szCs w:val="23"/>
              </w:rPr>
              <w:t xml:space="preserve">- </w:t>
            </w:r>
            <w:r>
              <w:rPr>
                <w:sz w:val="22"/>
                <w:szCs w:val="22"/>
              </w:rPr>
              <w:t xml:space="preserve">de l’heure (variation diurne) ; </w:t>
            </w:r>
          </w:p>
          <w:p w14:paraId="2153DBE0" w14:textId="77777777" w:rsidR="00B6224E" w:rsidRDefault="00B6224E" w:rsidP="003D64B8">
            <w:pPr>
              <w:pStyle w:val="Default"/>
              <w:rPr>
                <w:rFonts w:ascii="Calibri" w:hAnsi="Calibri" w:cs="Calibri"/>
                <w:sz w:val="23"/>
                <w:szCs w:val="23"/>
              </w:rPr>
            </w:pPr>
            <w:r>
              <w:rPr>
                <w:rFonts w:ascii="Calibri" w:hAnsi="Calibri" w:cs="Calibri"/>
                <w:b/>
                <w:bCs/>
                <w:sz w:val="23"/>
                <w:szCs w:val="23"/>
              </w:rPr>
              <w:t xml:space="preserve">- du moment de l’année (variation saisonnière) ; </w:t>
            </w:r>
          </w:p>
          <w:p w14:paraId="2926ECCE" w14:textId="77777777" w:rsidR="00B6224E" w:rsidRDefault="00B6224E" w:rsidP="003D64B8">
            <w:pPr>
              <w:pStyle w:val="Default"/>
              <w:rPr>
                <w:sz w:val="22"/>
                <w:szCs w:val="22"/>
              </w:rPr>
            </w:pPr>
            <w:r>
              <w:rPr>
                <w:rFonts w:ascii="Calibri" w:hAnsi="Calibri" w:cs="Calibri"/>
                <w:b/>
                <w:bCs/>
                <w:sz w:val="23"/>
                <w:szCs w:val="23"/>
              </w:rPr>
              <w:t xml:space="preserve">- </w:t>
            </w:r>
            <w:r>
              <w:rPr>
                <w:sz w:val="22"/>
                <w:szCs w:val="22"/>
              </w:rPr>
              <w:t xml:space="preserve">de la latitude (zonation climatique). </w:t>
            </w:r>
          </w:p>
          <w:p w14:paraId="1608BFCD" w14:textId="77777777" w:rsidR="00B6224E" w:rsidRDefault="00B6224E" w:rsidP="003D64B8"/>
        </w:tc>
        <w:tc>
          <w:tcPr>
            <w:tcW w:w="2987" w:type="dxa"/>
          </w:tcPr>
          <w:p w14:paraId="555758CD" w14:textId="77777777" w:rsidR="00B6224E" w:rsidRDefault="00B6224E" w:rsidP="003D64B8">
            <w:pPr>
              <w:pStyle w:val="Default"/>
              <w:rPr>
                <w:sz w:val="22"/>
                <w:szCs w:val="22"/>
              </w:rPr>
            </w:pPr>
            <w:r>
              <w:rPr>
                <w:sz w:val="22"/>
                <w:szCs w:val="22"/>
              </w:rPr>
              <w:t xml:space="preserve">Sur un schéma, identifier les configurations pour lesquelles la puissance reçue par une surface est maximale ou minimale. </w:t>
            </w:r>
          </w:p>
          <w:p w14:paraId="68B2D0D2" w14:textId="12F692A2" w:rsidR="00B6224E" w:rsidRDefault="00B6224E" w:rsidP="003D64B8">
            <w:r>
              <w:rPr>
                <w:sz w:val="22"/>
                <w:szCs w:val="22"/>
              </w:rPr>
              <w:t xml:space="preserve">Analyser, interpréter et représenter graphiquement des données de températures. Calculer des moyennes temporelles de températures. Comparer des distributions temporelles de températures </w:t>
            </w:r>
          </w:p>
        </w:tc>
        <w:tc>
          <w:tcPr>
            <w:tcW w:w="2830" w:type="dxa"/>
            <w:vMerge/>
          </w:tcPr>
          <w:p w14:paraId="2F01EEB8" w14:textId="77777777" w:rsidR="00B6224E" w:rsidRDefault="00B6224E" w:rsidP="003D64B8"/>
        </w:tc>
        <w:tc>
          <w:tcPr>
            <w:tcW w:w="2405" w:type="dxa"/>
            <w:vMerge/>
          </w:tcPr>
          <w:p w14:paraId="782FC7EE" w14:textId="77777777" w:rsidR="00B6224E" w:rsidRDefault="00B6224E" w:rsidP="003D64B8"/>
        </w:tc>
        <w:tc>
          <w:tcPr>
            <w:tcW w:w="2977" w:type="dxa"/>
            <w:vMerge/>
          </w:tcPr>
          <w:p w14:paraId="5C15F36A" w14:textId="77777777" w:rsidR="00B6224E" w:rsidRDefault="00B6224E" w:rsidP="003D64B8"/>
        </w:tc>
      </w:tr>
      <w:tr w:rsidR="003D64B8" w14:paraId="6CCB46CF" w14:textId="77777777" w:rsidTr="3B1F6B6C">
        <w:tc>
          <w:tcPr>
            <w:tcW w:w="14601" w:type="dxa"/>
            <w:gridSpan w:val="5"/>
          </w:tcPr>
          <w:p w14:paraId="4B6AB8FC" w14:textId="77777777" w:rsidR="003D5958" w:rsidRPr="003D5958" w:rsidRDefault="003D5958" w:rsidP="003D5958">
            <w:pPr>
              <w:pStyle w:val="Default"/>
              <w:rPr>
                <w:sz w:val="22"/>
                <w:szCs w:val="22"/>
              </w:rPr>
            </w:pPr>
            <w:r w:rsidRPr="003D5958">
              <w:rPr>
                <w:b/>
                <w:bCs/>
                <w:sz w:val="22"/>
                <w:szCs w:val="22"/>
              </w:rPr>
              <w:t xml:space="preserve">Prérequis et limites </w:t>
            </w:r>
          </w:p>
          <w:p w14:paraId="58476DF8" w14:textId="77777777" w:rsidR="003D5958" w:rsidRPr="003D5958" w:rsidRDefault="003D5958" w:rsidP="003D5958">
            <w:pPr>
              <w:pStyle w:val="Default"/>
              <w:rPr>
                <w:sz w:val="22"/>
                <w:szCs w:val="22"/>
              </w:rPr>
            </w:pPr>
            <w:r w:rsidRPr="003D5958">
              <w:rPr>
                <w:sz w:val="22"/>
                <w:szCs w:val="22"/>
              </w:rPr>
              <w:t xml:space="preserve">Les notions de base concernant l’énergie et la puissance, déjà connues, sont remobilisées. </w:t>
            </w:r>
          </w:p>
          <w:p w14:paraId="47529571" w14:textId="77777777" w:rsidR="003D5958" w:rsidRPr="003D5958" w:rsidRDefault="003D5958" w:rsidP="003D5958">
            <w:pPr>
              <w:pStyle w:val="Default"/>
              <w:rPr>
                <w:sz w:val="22"/>
                <w:szCs w:val="22"/>
              </w:rPr>
            </w:pPr>
            <w:r w:rsidRPr="003D5958">
              <w:rPr>
                <w:b/>
                <w:color w:val="002060"/>
                <w:sz w:val="22"/>
                <w:szCs w:val="22"/>
              </w:rPr>
              <w:lastRenderedPageBreak/>
              <w:t>La loi de Planck n’est pas explicitée</w:t>
            </w:r>
            <w:r w:rsidRPr="003D5958">
              <w:rPr>
                <w:color w:val="002060"/>
                <w:sz w:val="22"/>
                <w:szCs w:val="22"/>
              </w:rPr>
              <w:t xml:space="preserve"> </w:t>
            </w:r>
            <w:r w:rsidRPr="003D5958">
              <w:rPr>
                <w:sz w:val="22"/>
                <w:szCs w:val="22"/>
              </w:rPr>
              <w:t xml:space="preserve">: toutes les analyses spectrales sont réalisées à partir de représentations graphiques. </w:t>
            </w:r>
          </w:p>
          <w:p w14:paraId="76DBE41E" w14:textId="7D5A350D" w:rsidR="003C7800" w:rsidRPr="00B6224E" w:rsidRDefault="003D5958" w:rsidP="003D5958">
            <w:pPr>
              <w:rPr>
                <w:rFonts w:ascii="Arial" w:hAnsi="Arial" w:cs="Arial"/>
                <w:sz w:val="22"/>
                <w:szCs w:val="22"/>
              </w:rPr>
            </w:pPr>
            <w:r w:rsidRPr="003D5958">
              <w:rPr>
                <w:rFonts w:ascii="Arial" w:hAnsi="Arial" w:cs="Arial"/>
                <w:b/>
                <w:color w:val="002060"/>
                <w:sz w:val="22"/>
                <w:szCs w:val="22"/>
              </w:rPr>
              <w:t>La relation entre la température absolue, exprimée en kelvin, et la température en degrés Celsius est fournie, ainsi que la loi de Wien</w:t>
            </w:r>
            <w:r w:rsidRPr="003D5958">
              <w:rPr>
                <w:rFonts w:ascii="Arial" w:hAnsi="Arial" w:cs="Arial"/>
                <w:sz w:val="22"/>
                <w:szCs w:val="22"/>
              </w:rPr>
              <w:t xml:space="preserve">. </w:t>
            </w:r>
          </w:p>
        </w:tc>
      </w:tr>
      <w:tr w:rsidR="003C7800" w14:paraId="46DF237F" w14:textId="77777777" w:rsidTr="3B1F6B6C">
        <w:tc>
          <w:tcPr>
            <w:tcW w:w="14601" w:type="dxa"/>
            <w:gridSpan w:val="5"/>
          </w:tcPr>
          <w:p w14:paraId="11CB31A5" w14:textId="5627E0D3" w:rsidR="003C7800" w:rsidRDefault="003C7800" w:rsidP="003C7800">
            <w:pPr>
              <w:spacing w:before="72"/>
              <w:ind w:left="34"/>
              <w:rPr>
                <w:rFonts w:ascii="Arial" w:hAnsi="Arial" w:cs="Arial"/>
                <w:b/>
                <w:bCs/>
                <w:color w:val="17818E"/>
                <w:spacing w:val="-4"/>
                <w:w w:val="105"/>
                <w:sz w:val="22"/>
                <w:szCs w:val="22"/>
              </w:rPr>
            </w:pPr>
            <w:bookmarkStart w:id="3" w:name="_Hlk6934072"/>
            <w:r>
              <w:rPr>
                <w:rFonts w:ascii="Arial" w:hAnsi="Arial" w:cs="Arial"/>
                <w:b/>
                <w:bCs/>
                <w:color w:val="17818E"/>
                <w:spacing w:val="-4"/>
                <w:w w:val="105"/>
                <w:sz w:val="22"/>
                <w:szCs w:val="22"/>
              </w:rPr>
              <w:lastRenderedPageBreak/>
              <w:t xml:space="preserve">2.2 – Le </w:t>
            </w:r>
            <w:r w:rsidR="00981ECE">
              <w:rPr>
                <w:rFonts w:ascii="Arial" w:hAnsi="Arial" w:cs="Arial"/>
                <w:b/>
                <w:bCs/>
                <w:color w:val="17818E"/>
                <w:spacing w:val="-4"/>
                <w:w w:val="105"/>
                <w:sz w:val="22"/>
                <w:szCs w:val="22"/>
              </w:rPr>
              <w:t>bilan radiatif terrestre</w:t>
            </w:r>
          </w:p>
          <w:tbl>
            <w:tblPr>
              <w:tblW w:w="0" w:type="auto"/>
              <w:tblBorders>
                <w:top w:val="nil"/>
                <w:left w:val="nil"/>
                <w:bottom w:val="nil"/>
                <w:right w:val="nil"/>
              </w:tblBorders>
              <w:tblLook w:val="0000" w:firstRow="0" w:lastRow="0" w:firstColumn="0" w:lastColumn="0" w:noHBand="0" w:noVBand="0"/>
            </w:tblPr>
            <w:tblGrid>
              <w:gridCol w:w="14385"/>
            </w:tblGrid>
            <w:tr w:rsidR="00981ECE" w:rsidRPr="00981ECE" w14:paraId="4750B183" w14:textId="77777777">
              <w:trPr>
                <w:trHeight w:val="356"/>
              </w:trPr>
              <w:tc>
                <w:tcPr>
                  <w:tcW w:w="0" w:type="auto"/>
                </w:tcPr>
                <w:p w14:paraId="366E7A25" w14:textId="77777777" w:rsidR="00981ECE" w:rsidRPr="00981ECE" w:rsidRDefault="00981ECE" w:rsidP="00981ECE">
                  <w:pPr>
                    <w:widowControl/>
                    <w:kinsoku/>
                    <w:autoSpaceDE w:val="0"/>
                    <w:autoSpaceDN w:val="0"/>
                    <w:adjustRightInd w:val="0"/>
                    <w:rPr>
                      <w:rFonts w:ascii="Arial" w:eastAsiaTheme="minorHAnsi" w:hAnsi="Arial" w:cs="Arial"/>
                      <w:color w:val="000000"/>
                      <w:sz w:val="22"/>
                      <w:szCs w:val="22"/>
                      <w:lang w:eastAsia="en-US"/>
                    </w:rPr>
                  </w:pPr>
                  <w:r w:rsidRPr="00981ECE">
                    <w:rPr>
                      <w:rFonts w:ascii="Arial" w:eastAsiaTheme="minorHAnsi" w:hAnsi="Arial" w:cs="Arial"/>
                      <w:color w:val="000000"/>
                      <w:sz w:val="22"/>
                      <w:szCs w:val="22"/>
                      <w:lang w:eastAsia="en-US"/>
                    </w:rPr>
                    <w:t xml:space="preserve">La Terre reçoit le rayonnement solaire et émet elle-même un rayonnement. Le bilan conditionne le milieu de vie. La compréhension de cet équilibre en classe de première permettra d’aborder sa perturbation par l’humanité en terminale. </w:t>
                  </w:r>
                </w:p>
              </w:tc>
            </w:tr>
          </w:tbl>
          <w:p w14:paraId="04302A9B" w14:textId="52E8DA97" w:rsidR="003C7800" w:rsidRDefault="003C7800" w:rsidP="003C7800"/>
        </w:tc>
      </w:tr>
      <w:tr w:rsidR="003C7800" w14:paraId="52BE72C6" w14:textId="77777777" w:rsidTr="3B1F6B6C">
        <w:tc>
          <w:tcPr>
            <w:tcW w:w="3402" w:type="dxa"/>
            <w:vAlign w:val="center"/>
          </w:tcPr>
          <w:p w14:paraId="17E039C0" w14:textId="129F5544" w:rsidR="003C7800" w:rsidRDefault="003C7800" w:rsidP="003C7800">
            <w:r>
              <w:rPr>
                <w:rFonts w:ascii="Arial" w:hAnsi="Arial" w:cs="Arial"/>
                <w:b/>
                <w:bCs/>
                <w:sz w:val="22"/>
                <w:szCs w:val="22"/>
              </w:rPr>
              <w:t>Savoirs</w:t>
            </w:r>
          </w:p>
        </w:tc>
        <w:tc>
          <w:tcPr>
            <w:tcW w:w="2987" w:type="dxa"/>
            <w:vAlign w:val="center"/>
          </w:tcPr>
          <w:p w14:paraId="10143007" w14:textId="0596DE35" w:rsidR="003C7800" w:rsidRDefault="003C7800" w:rsidP="003C7800">
            <w:r>
              <w:rPr>
                <w:rFonts w:ascii="Arial" w:hAnsi="Arial" w:cs="Arial"/>
                <w:b/>
                <w:bCs/>
                <w:sz w:val="22"/>
                <w:szCs w:val="22"/>
              </w:rPr>
              <w:t>Savoir-faire</w:t>
            </w:r>
          </w:p>
        </w:tc>
        <w:tc>
          <w:tcPr>
            <w:tcW w:w="2830" w:type="dxa"/>
            <w:shd w:val="clear" w:color="auto" w:fill="BDD6EE" w:themeFill="accent5" w:themeFillTint="66"/>
          </w:tcPr>
          <w:p w14:paraId="718335A3" w14:textId="07D75C31" w:rsidR="003C7800" w:rsidRDefault="003C7800" w:rsidP="003C7800">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405" w:type="dxa"/>
          </w:tcPr>
          <w:p w14:paraId="51AD97CA" w14:textId="6BF87B78" w:rsidR="003C7800" w:rsidRDefault="003C7800" w:rsidP="003C7800">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s</w:t>
            </w:r>
            <w:r w:rsidRPr="000C5D32">
              <w:rPr>
                <w:rFonts w:asciiTheme="minorHAnsi" w:hAnsiTheme="minorHAnsi" w:cstheme="minorHAnsi"/>
                <w:b/>
              </w:rPr>
              <w:t xml:space="preserve"> en première</w:t>
            </w:r>
          </w:p>
        </w:tc>
        <w:tc>
          <w:tcPr>
            <w:tcW w:w="2977" w:type="dxa"/>
          </w:tcPr>
          <w:p w14:paraId="0BA4F7AE" w14:textId="36A5A939" w:rsidR="003C7800" w:rsidRDefault="003C7800" w:rsidP="003C7800">
            <w:r w:rsidRPr="007F4857">
              <w:rPr>
                <w:rFonts w:asciiTheme="minorHAnsi" w:hAnsiTheme="minorHAnsi" w:cstheme="minorHAnsi"/>
                <w:b/>
              </w:rPr>
              <w:t>Liens avec les programmes de spécialité</w:t>
            </w:r>
          </w:p>
        </w:tc>
      </w:tr>
      <w:bookmarkEnd w:id="3"/>
      <w:tr w:rsidR="00B6224E" w14:paraId="2D583AAE" w14:textId="77777777" w:rsidTr="3B1F6B6C">
        <w:tc>
          <w:tcPr>
            <w:tcW w:w="3402" w:type="dxa"/>
          </w:tcPr>
          <w:p w14:paraId="25FC00FC" w14:textId="77777777" w:rsidR="00B6224E" w:rsidRPr="00981ECE" w:rsidRDefault="00B6224E" w:rsidP="00981ECE">
            <w:pPr>
              <w:pStyle w:val="Default"/>
              <w:rPr>
                <w:rFonts w:asciiTheme="minorHAnsi" w:hAnsiTheme="minorHAnsi" w:cstheme="minorHAnsi"/>
                <w:sz w:val="22"/>
                <w:szCs w:val="22"/>
              </w:rPr>
            </w:pPr>
            <w:r>
              <w:rPr>
                <w:sz w:val="22"/>
                <w:szCs w:val="22"/>
              </w:rPr>
              <w:t xml:space="preserve">La proportion de la puissance totale, émise par le Soleil et atteignant la Terre, est déterminée par son rayon et sa distance au Soleil. </w:t>
            </w:r>
          </w:p>
          <w:p w14:paraId="3A0C1886" w14:textId="4FBE7C0B" w:rsidR="00B6224E" w:rsidRPr="00981ECE" w:rsidRDefault="00B6224E" w:rsidP="00981ECE">
            <w:pPr>
              <w:rPr>
                <w:rFonts w:ascii="Arial" w:hAnsi="Arial" w:cs="Arial"/>
              </w:rPr>
            </w:pPr>
            <w:r w:rsidRPr="00981ECE">
              <w:rPr>
                <w:rFonts w:ascii="Arial" w:hAnsi="Arial" w:cs="Arial"/>
                <w:sz w:val="22"/>
                <w:szCs w:val="22"/>
              </w:rPr>
              <w:t xml:space="preserve">Une fraction de cette puissance, quantifiée par l’albédo terrestre moyen, est diffusée par la Terre vers l’espace, le reste est absorbé par l’atmosphère, les continents et les océans. </w:t>
            </w:r>
          </w:p>
        </w:tc>
        <w:tc>
          <w:tcPr>
            <w:tcW w:w="2987" w:type="dxa"/>
          </w:tcPr>
          <w:p w14:paraId="59A98A2F" w14:textId="77777777" w:rsidR="00B6224E" w:rsidRDefault="00B6224E" w:rsidP="00981ECE">
            <w:pPr>
              <w:pStyle w:val="Default"/>
              <w:rPr>
                <w:sz w:val="22"/>
                <w:szCs w:val="22"/>
              </w:rPr>
            </w:pPr>
            <w:r>
              <w:rPr>
                <w:sz w:val="22"/>
                <w:szCs w:val="22"/>
              </w:rPr>
              <w:t xml:space="preserve">En s’appuyant sur un schéma, calculer la proportion de la puissance émise par le Soleil qui atteint la Terre. </w:t>
            </w:r>
          </w:p>
          <w:p w14:paraId="7D15B128" w14:textId="58272542" w:rsidR="00B6224E" w:rsidRPr="00981ECE" w:rsidRDefault="00B6224E" w:rsidP="00981ECE">
            <w:pPr>
              <w:rPr>
                <w:rFonts w:ascii="Arial" w:hAnsi="Arial" w:cs="Arial"/>
              </w:rPr>
            </w:pPr>
            <w:r w:rsidRPr="00981ECE">
              <w:rPr>
                <w:rFonts w:ascii="Arial" w:hAnsi="Arial" w:cs="Arial"/>
                <w:sz w:val="22"/>
                <w:szCs w:val="22"/>
              </w:rPr>
              <w:t xml:space="preserve">L’albédo terrestre étant donné, déterminer la puissance totale reçue par le sol de la part du Soleil. </w:t>
            </w:r>
          </w:p>
        </w:tc>
        <w:tc>
          <w:tcPr>
            <w:tcW w:w="2830" w:type="dxa"/>
            <w:vMerge w:val="restart"/>
            <w:shd w:val="clear" w:color="auto" w:fill="BDD6EE" w:themeFill="accent5" w:themeFillTint="66"/>
          </w:tcPr>
          <w:p w14:paraId="443A3BA0" w14:textId="77777777" w:rsidR="00B6224E" w:rsidRDefault="00B6224E" w:rsidP="00981ECE"/>
        </w:tc>
        <w:tc>
          <w:tcPr>
            <w:tcW w:w="2405" w:type="dxa"/>
            <w:vMerge w:val="restart"/>
          </w:tcPr>
          <w:p w14:paraId="090E38C7" w14:textId="77777777" w:rsidR="00B6224E" w:rsidRDefault="00B6224E" w:rsidP="00981ECE"/>
        </w:tc>
        <w:tc>
          <w:tcPr>
            <w:tcW w:w="2977" w:type="dxa"/>
            <w:vMerge w:val="restart"/>
          </w:tcPr>
          <w:p w14:paraId="20E906BC" w14:textId="77777777" w:rsidR="00B6224E" w:rsidRPr="0067495B" w:rsidRDefault="00B6224E" w:rsidP="00981ECE">
            <w:pPr>
              <w:rPr>
                <w:rFonts w:ascii="Cambria" w:hAnsi="Cambria"/>
                <w:b/>
                <w:sz w:val="22"/>
                <w:szCs w:val="22"/>
              </w:rPr>
            </w:pPr>
            <w:r w:rsidRPr="0067495B">
              <w:rPr>
                <w:rFonts w:ascii="Cambria" w:hAnsi="Cambria"/>
                <w:b/>
                <w:sz w:val="22"/>
                <w:szCs w:val="22"/>
              </w:rPr>
              <w:t>Physique-chimie :</w:t>
            </w:r>
          </w:p>
          <w:p w14:paraId="26B42D52" w14:textId="77777777" w:rsidR="00B6224E" w:rsidRPr="0067495B" w:rsidRDefault="0E3BE76E" w:rsidP="00981ECE">
            <w:pPr>
              <w:rPr>
                <w:rFonts w:ascii="Cambria" w:hAnsi="Cambria"/>
                <w:sz w:val="22"/>
                <w:szCs w:val="22"/>
              </w:rPr>
            </w:pPr>
            <w:r w:rsidRPr="0E3BE76E">
              <w:rPr>
                <w:rFonts w:ascii="Cambria" w:hAnsi="Cambria"/>
                <w:sz w:val="22"/>
                <w:szCs w:val="22"/>
              </w:rPr>
              <w:t>Absorbance, spectre d’absorption,</w:t>
            </w:r>
          </w:p>
          <w:p w14:paraId="3D8B924B" w14:textId="2A4B5BCA" w:rsidR="0E3BE76E" w:rsidRDefault="0E3BE76E" w:rsidP="0E3BE76E">
            <w:pPr>
              <w:rPr>
                <w:rFonts w:ascii="Cambria" w:hAnsi="Cambria"/>
                <w:sz w:val="22"/>
                <w:szCs w:val="22"/>
              </w:rPr>
            </w:pPr>
          </w:p>
          <w:p w14:paraId="693B6027" w14:textId="77777777" w:rsidR="00B6224E" w:rsidRPr="0067495B" w:rsidRDefault="00B6224E" w:rsidP="00981ECE">
            <w:pPr>
              <w:rPr>
                <w:rFonts w:ascii="Cambria" w:hAnsi="Cambria"/>
                <w:sz w:val="22"/>
                <w:szCs w:val="22"/>
              </w:rPr>
            </w:pPr>
            <w:r w:rsidRPr="0067495B">
              <w:rPr>
                <w:rFonts w:ascii="Cambria" w:hAnsi="Cambria"/>
                <w:sz w:val="22"/>
                <w:szCs w:val="22"/>
              </w:rPr>
              <w:t>Combustions et enjeux de société.</w:t>
            </w:r>
          </w:p>
          <w:p w14:paraId="512615D5" w14:textId="6950227F" w:rsidR="00B6224E" w:rsidRPr="0067495B" w:rsidRDefault="0E3BE76E" w:rsidP="0E3BE76E">
            <w:pPr>
              <w:rPr>
                <w:rFonts w:ascii="Cambria" w:hAnsi="Cambria"/>
                <w:sz w:val="22"/>
                <w:szCs w:val="22"/>
              </w:rPr>
            </w:pPr>
            <w:r w:rsidRPr="0E3BE76E">
              <w:rPr>
                <w:rFonts w:ascii="Cambria" w:hAnsi="Cambria"/>
                <w:sz w:val="22"/>
                <w:szCs w:val="22"/>
              </w:rPr>
              <w:t>Citer des applications usuelles qui mettent en œuvre des combustions et les risques associés.</w:t>
            </w:r>
          </w:p>
          <w:p w14:paraId="01A4E0FF" w14:textId="3D2065B2" w:rsidR="00B6224E" w:rsidRDefault="00B6224E" w:rsidP="0067495B">
            <w:r w:rsidRPr="0067495B">
              <w:rPr>
                <w:rFonts w:ascii="Cambria" w:hAnsi="Cambria"/>
                <w:sz w:val="22"/>
                <w:szCs w:val="22"/>
              </w:rPr>
              <w:t>Citer des axes d’étude actuels d’applications s’inscrivant dans une perspective de développement durable</w:t>
            </w:r>
            <w:r>
              <w:t>.</w:t>
            </w:r>
          </w:p>
        </w:tc>
      </w:tr>
      <w:tr w:rsidR="00B6224E" w14:paraId="0B4DF8EB" w14:textId="77777777" w:rsidTr="3B1F6B6C">
        <w:tc>
          <w:tcPr>
            <w:tcW w:w="3402" w:type="dxa"/>
          </w:tcPr>
          <w:p w14:paraId="70CD3C4D" w14:textId="77777777" w:rsidR="00B6224E" w:rsidRDefault="00B6224E" w:rsidP="00981ECE">
            <w:pPr>
              <w:pStyle w:val="Default"/>
              <w:rPr>
                <w:sz w:val="22"/>
                <w:szCs w:val="22"/>
              </w:rPr>
            </w:pPr>
            <w:r>
              <w:rPr>
                <w:sz w:val="22"/>
                <w:szCs w:val="22"/>
              </w:rPr>
              <w:t xml:space="preserve">Le sol émet un rayonnement électromagnétique dans le domaine infra-rouge (longueur d’onde voisine de 10 μm) dont la puissance par unité de surface augmente avec la température. </w:t>
            </w:r>
          </w:p>
          <w:p w14:paraId="0C8F4253" w14:textId="77777777" w:rsidR="00B6224E" w:rsidRDefault="00B6224E" w:rsidP="00981ECE">
            <w:pPr>
              <w:pStyle w:val="Default"/>
              <w:rPr>
                <w:sz w:val="22"/>
                <w:szCs w:val="22"/>
              </w:rPr>
            </w:pPr>
            <w:r>
              <w:rPr>
                <w:sz w:val="22"/>
                <w:szCs w:val="22"/>
              </w:rPr>
              <w:t xml:space="preserve">Une partie de cette puissance est absorbée par l’atmosphère, qui elle-même émet un rayonnement infrarouge vers le sol et vers l’espace (effet de serre). </w:t>
            </w:r>
          </w:p>
          <w:p w14:paraId="6EF01070" w14:textId="77777777" w:rsidR="00B6224E" w:rsidRDefault="00B6224E" w:rsidP="00981ECE">
            <w:pPr>
              <w:pStyle w:val="Default"/>
              <w:rPr>
                <w:sz w:val="22"/>
                <w:szCs w:val="22"/>
              </w:rPr>
            </w:pPr>
            <w:r>
              <w:rPr>
                <w:sz w:val="22"/>
                <w:szCs w:val="22"/>
              </w:rPr>
              <w:t xml:space="preserve">La puissance reçue par le sol en un lieu donné est égale à la somme de la puissance reçue du Soleil et de celle reçue de l’atmosphère. Ces deux </w:t>
            </w:r>
            <w:r>
              <w:rPr>
                <w:sz w:val="22"/>
                <w:szCs w:val="22"/>
              </w:rPr>
              <w:lastRenderedPageBreak/>
              <w:t xml:space="preserve">dernières sont du même ordre de grandeur. </w:t>
            </w:r>
          </w:p>
          <w:p w14:paraId="2A5BE346" w14:textId="0AB391ED" w:rsidR="00B6224E" w:rsidRPr="00981ECE" w:rsidRDefault="00B6224E" w:rsidP="00981ECE">
            <w:pPr>
              <w:rPr>
                <w:rFonts w:ascii="Arial" w:hAnsi="Arial" w:cs="Arial"/>
              </w:rPr>
            </w:pPr>
            <w:r w:rsidRPr="00981ECE">
              <w:rPr>
                <w:rFonts w:ascii="Arial" w:hAnsi="Arial" w:cs="Arial"/>
                <w:sz w:val="22"/>
                <w:szCs w:val="22"/>
              </w:rPr>
              <w:t xml:space="preserve">Un équilibre, qualifié de </w:t>
            </w:r>
            <w:r w:rsidRPr="00981ECE">
              <w:rPr>
                <w:rFonts w:ascii="Arial" w:hAnsi="Arial" w:cs="Arial"/>
                <w:i/>
                <w:iCs/>
                <w:sz w:val="22"/>
                <w:szCs w:val="22"/>
              </w:rPr>
              <w:t xml:space="preserve">dynamique, </w:t>
            </w:r>
            <w:r w:rsidRPr="00981ECE">
              <w:rPr>
                <w:rFonts w:ascii="Arial" w:hAnsi="Arial" w:cs="Arial"/>
                <w:sz w:val="22"/>
                <w:szCs w:val="22"/>
              </w:rPr>
              <w:t xml:space="preserve">est atteint lorsque le sol reçoit au total une puissance moyenne égale à celle qu’il émet. La température moyenne du sol est alors constante. </w:t>
            </w:r>
          </w:p>
        </w:tc>
        <w:tc>
          <w:tcPr>
            <w:tcW w:w="2987" w:type="dxa"/>
          </w:tcPr>
          <w:p w14:paraId="25F1E0AE" w14:textId="77777777" w:rsidR="00B6224E" w:rsidRDefault="00B6224E" w:rsidP="00981ECE">
            <w:pPr>
              <w:pStyle w:val="Default"/>
              <w:rPr>
                <w:sz w:val="22"/>
                <w:szCs w:val="22"/>
              </w:rPr>
            </w:pPr>
            <w:r>
              <w:rPr>
                <w:sz w:val="22"/>
                <w:szCs w:val="22"/>
              </w:rPr>
              <w:lastRenderedPageBreak/>
              <w:t xml:space="preserve">Commenter la courbe d’absorption de l’atmosphère terrestre en fonction de la longueur d’onde </w:t>
            </w:r>
          </w:p>
          <w:p w14:paraId="4B4533CC" w14:textId="77777777" w:rsidR="00B6224E" w:rsidRDefault="00B6224E" w:rsidP="00981ECE">
            <w:pPr>
              <w:pStyle w:val="Default"/>
              <w:rPr>
                <w:sz w:val="22"/>
                <w:szCs w:val="22"/>
              </w:rPr>
            </w:pPr>
            <w:r>
              <w:rPr>
                <w:sz w:val="22"/>
                <w:szCs w:val="22"/>
              </w:rPr>
              <w:t xml:space="preserve">Représenter sur un schéma les différents rayonnements reçus et émis par le sol. </w:t>
            </w:r>
          </w:p>
          <w:p w14:paraId="222AB851" w14:textId="38E108FA" w:rsidR="00B6224E" w:rsidRPr="00981ECE" w:rsidRDefault="00B6224E" w:rsidP="00981ECE">
            <w:pPr>
              <w:rPr>
                <w:rFonts w:ascii="Arial" w:hAnsi="Arial" w:cs="Arial"/>
              </w:rPr>
            </w:pPr>
            <w:r w:rsidRPr="00981ECE">
              <w:rPr>
                <w:rFonts w:ascii="Arial" w:hAnsi="Arial" w:cs="Arial"/>
                <w:sz w:val="22"/>
                <w:szCs w:val="22"/>
              </w:rPr>
              <w:t xml:space="preserve">Expliquer qualitativement l’influence des différents facteurs (albedo, effet de serre) sur la température terrestre moyenne. </w:t>
            </w:r>
          </w:p>
        </w:tc>
        <w:tc>
          <w:tcPr>
            <w:tcW w:w="2830" w:type="dxa"/>
            <w:vMerge/>
          </w:tcPr>
          <w:p w14:paraId="5BEDC4A1" w14:textId="77777777" w:rsidR="00B6224E" w:rsidRDefault="00B6224E" w:rsidP="00981ECE"/>
        </w:tc>
        <w:tc>
          <w:tcPr>
            <w:tcW w:w="2405" w:type="dxa"/>
            <w:vMerge/>
          </w:tcPr>
          <w:p w14:paraId="4B9D4016" w14:textId="77777777" w:rsidR="00B6224E" w:rsidRDefault="00B6224E" w:rsidP="00981ECE"/>
        </w:tc>
        <w:tc>
          <w:tcPr>
            <w:tcW w:w="2977" w:type="dxa"/>
            <w:vMerge/>
          </w:tcPr>
          <w:p w14:paraId="6AB05F89" w14:textId="4FF3E25C" w:rsidR="00B6224E" w:rsidRDefault="00B6224E" w:rsidP="0067495B"/>
        </w:tc>
      </w:tr>
      <w:tr w:rsidR="00752304" w14:paraId="79C196E5" w14:textId="77777777" w:rsidTr="3B1F6B6C">
        <w:tc>
          <w:tcPr>
            <w:tcW w:w="14601" w:type="dxa"/>
            <w:gridSpan w:val="5"/>
          </w:tcPr>
          <w:tbl>
            <w:tblPr>
              <w:tblW w:w="0" w:type="auto"/>
              <w:tblBorders>
                <w:top w:val="nil"/>
                <w:left w:val="nil"/>
                <w:bottom w:val="nil"/>
                <w:right w:val="nil"/>
              </w:tblBorders>
              <w:tblLook w:val="0000" w:firstRow="0" w:lastRow="0" w:firstColumn="0" w:lastColumn="0" w:noHBand="0" w:noVBand="0"/>
            </w:tblPr>
            <w:tblGrid>
              <w:gridCol w:w="14385"/>
            </w:tblGrid>
            <w:tr w:rsidR="00752304" w:rsidRPr="00752304" w14:paraId="6CE6DF38" w14:textId="77777777">
              <w:trPr>
                <w:trHeight w:val="1136"/>
              </w:trPr>
              <w:tc>
                <w:tcPr>
                  <w:tcW w:w="0" w:type="auto"/>
                </w:tcPr>
                <w:p w14:paraId="4DACFD70" w14:textId="77777777" w:rsidR="00752304" w:rsidRPr="00752304" w:rsidRDefault="00752304" w:rsidP="00752304">
                  <w:pPr>
                    <w:widowControl/>
                    <w:kinsoku/>
                    <w:autoSpaceDE w:val="0"/>
                    <w:autoSpaceDN w:val="0"/>
                    <w:adjustRightInd w:val="0"/>
                    <w:rPr>
                      <w:rFonts w:ascii="Arial" w:eastAsiaTheme="minorHAnsi" w:hAnsi="Arial" w:cs="Arial"/>
                      <w:color w:val="000000"/>
                      <w:sz w:val="22"/>
                      <w:szCs w:val="22"/>
                      <w:lang w:eastAsia="en-US"/>
                    </w:rPr>
                  </w:pPr>
                  <w:r w:rsidRPr="00752304">
                    <w:rPr>
                      <w:rFonts w:ascii="Arial" w:eastAsiaTheme="minorHAnsi" w:hAnsi="Arial" w:cs="Arial"/>
                      <w:b/>
                      <w:bCs/>
                      <w:color w:val="000000"/>
                      <w:sz w:val="22"/>
                      <w:szCs w:val="22"/>
                      <w:lang w:eastAsia="en-US"/>
                    </w:rPr>
                    <w:t xml:space="preserve">Prérequis et limites </w:t>
                  </w:r>
                </w:p>
                <w:p w14:paraId="00838A55" w14:textId="77777777" w:rsidR="00752304" w:rsidRPr="00752304" w:rsidRDefault="00752304" w:rsidP="00752304">
                  <w:pPr>
                    <w:widowControl/>
                    <w:kinsoku/>
                    <w:autoSpaceDE w:val="0"/>
                    <w:autoSpaceDN w:val="0"/>
                    <w:adjustRightInd w:val="0"/>
                    <w:rPr>
                      <w:rFonts w:ascii="Arial" w:eastAsiaTheme="minorHAnsi" w:hAnsi="Arial" w:cs="Arial"/>
                      <w:color w:val="000000"/>
                      <w:sz w:val="22"/>
                      <w:szCs w:val="22"/>
                      <w:lang w:eastAsia="en-US"/>
                    </w:rPr>
                  </w:pPr>
                  <w:r w:rsidRPr="00752304">
                    <w:rPr>
                      <w:rFonts w:ascii="Arial" w:eastAsiaTheme="minorHAnsi" w:hAnsi="Arial" w:cs="Arial"/>
                      <w:color w:val="000000"/>
                      <w:sz w:val="22"/>
                      <w:szCs w:val="22"/>
                      <w:lang w:eastAsia="en-US"/>
                    </w:rPr>
                    <w:t xml:space="preserve">Les notions de longueur d’onde du rayonnement et de spectre visible, déjà connues, sont remobilisées. </w:t>
                  </w:r>
                </w:p>
                <w:p w14:paraId="515E8DC9" w14:textId="77777777" w:rsidR="00752304" w:rsidRPr="00752304" w:rsidRDefault="00752304" w:rsidP="00752304">
                  <w:pPr>
                    <w:widowControl/>
                    <w:kinsoku/>
                    <w:autoSpaceDE w:val="0"/>
                    <w:autoSpaceDN w:val="0"/>
                    <w:adjustRightInd w:val="0"/>
                    <w:rPr>
                      <w:rFonts w:ascii="Arial" w:eastAsiaTheme="minorHAnsi" w:hAnsi="Arial" w:cs="Arial"/>
                      <w:color w:val="000000"/>
                      <w:sz w:val="22"/>
                      <w:szCs w:val="22"/>
                      <w:lang w:eastAsia="en-US"/>
                    </w:rPr>
                  </w:pPr>
                  <w:r w:rsidRPr="00752304">
                    <w:rPr>
                      <w:rFonts w:ascii="Arial" w:eastAsiaTheme="minorHAnsi" w:hAnsi="Arial" w:cs="Arial"/>
                      <w:color w:val="000000"/>
                      <w:sz w:val="22"/>
                      <w:szCs w:val="22"/>
                      <w:lang w:eastAsia="en-US"/>
                    </w:rPr>
                    <w:t xml:space="preserve">L’objectif de ce paragraphe est de comprendre qualitativement comment le bilan énergétique de la Terre conditionne sa température. </w:t>
                  </w:r>
                </w:p>
                <w:p w14:paraId="3372269F" w14:textId="77777777" w:rsidR="00752304" w:rsidRPr="00752304" w:rsidRDefault="00752304" w:rsidP="00752304">
                  <w:pPr>
                    <w:widowControl/>
                    <w:kinsoku/>
                    <w:autoSpaceDE w:val="0"/>
                    <w:autoSpaceDN w:val="0"/>
                    <w:adjustRightInd w:val="0"/>
                    <w:rPr>
                      <w:rFonts w:ascii="Arial" w:eastAsiaTheme="minorHAnsi" w:hAnsi="Arial" w:cs="Arial"/>
                      <w:color w:val="000000"/>
                      <w:sz w:val="22"/>
                      <w:szCs w:val="22"/>
                      <w:lang w:eastAsia="en-US"/>
                    </w:rPr>
                  </w:pPr>
                  <w:r w:rsidRPr="00752304">
                    <w:rPr>
                      <w:rFonts w:ascii="Arial" w:eastAsiaTheme="minorHAnsi" w:hAnsi="Arial" w:cs="Arial"/>
                      <w:b/>
                      <w:color w:val="002060"/>
                      <w:sz w:val="22"/>
                      <w:szCs w:val="22"/>
                      <w:lang w:eastAsia="en-US"/>
                    </w:rPr>
                    <w:t>La théorie de l’effet de serre et la connaissance de la loi de Stefan-Boltzmann ne sont pas exigibles</w:t>
                  </w:r>
                  <w:r w:rsidRPr="00752304">
                    <w:rPr>
                      <w:rFonts w:ascii="Arial" w:eastAsiaTheme="minorHAnsi" w:hAnsi="Arial" w:cs="Arial"/>
                      <w:color w:val="000000"/>
                      <w:sz w:val="22"/>
                      <w:szCs w:val="22"/>
                      <w:lang w:eastAsia="en-US"/>
                    </w:rPr>
                    <w:t xml:space="preserve">. </w:t>
                  </w:r>
                </w:p>
                <w:p w14:paraId="3D407575" w14:textId="77777777" w:rsidR="00752304" w:rsidRPr="00752304" w:rsidRDefault="00752304" w:rsidP="00752304">
                  <w:pPr>
                    <w:widowControl/>
                    <w:kinsoku/>
                    <w:autoSpaceDE w:val="0"/>
                    <w:autoSpaceDN w:val="0"/>
                    <w:adjustRightInd w:val="0"/>
                    <w:rPr>
                      <w:rFonts w:ascii="Arial" w:eastAsiaTheme="minorHAnsi" w:hAnsi="Arial" w:cs="Arial"/>
                      <w:color w:val="000000"/>
                      <w:sz w:val="22"/>
                      <w:szCs w:val="22"/>
                      <w:lang w:eastAsia="en-US"/>
                    </w:rPr>
                  </w:pPr>
                  <w:r w:rsidRPr="00752304">
                    <w:rPr>
                      <w:rFonts w:ascii="Arial" w:eastAsiaTheme="minorHAnsi" w:hAnsi="Arial" w:cs="Arial"/>
                      <w:color w:val="000000"/>
                      <w:sz w:val="22"/>
                      <w:szCs w:val="22"/>
                      <w:lang w:eastAsia="en-US"/>
                    </w:rPr>
                    <w:t xml:space="preserve">Le réchauffement climatique global associé au renforcement de l’effet de serre sera étudié en détail en terminale, mais il peut être utilement mentionné. </w:t>
                  </w:r>
                </w:p>
              </w:tc>
            </w:tr>
          </w:tbl>
          <w:p w14:paraId="1DD7C587" w14:textId="77777777" w:rsidR="00752304" w:rsidRDefault="00752304" w:rsidP="003C7800"/>
        </w:tc>
      </w:tr>
      <w:tr w:rsidR="00DB499F" w14:paraId="598EA1B1" w14:textId="77777777" w:rsidTr="3B1F6B6C">
        <w:tc>
          <w:tcPr>
            <w:tcW w:w="14601" w:type="dxa"/>
            <w:gridSpan w:val="5"/>
          </w:tcPr>
          <w:p w14:paraId="362ED16A" w14:textId="3F7E6637" w:rsidR="00DB499F" w:rsidRDefault="00DB499F" w:rsidP="0071240D">
            <w:pPr>
              <w:spacing w:before="72"/>
              <w:ind w:left="34"/>
              <w:rPr>
                <w:rFonts w:ascii="Arial" w:hAnsi="Arial" w:cs="Arial"/>
                <w:b/>
                <w:bCs/>
                <w:color w:val="17818E"/>
                <w:spacing w:val="-4"/>
                <w:w w:val="105"/>
                <w:sz w:val="22"/>
                <w:szCs w:val="22"/>
              </w:rPr>
            </w:pPr>
            <w:r>
              <w:rPr>
                <w:rFonts w:ascii="Arial" w:hAnsi="Arial" w:cs="Arial"/>
                <w:b/>
                <w:bCs/>
                <w:color w:val="17818E"/>
                <w:spacing w:val="-4"/>
                <w:w w:val="105"/>
                <w:sz w:val="22"/>
                <w:szCs w:val="22"/>
              </w:rPr>
              <w:t>2.3 – Une conversion biologique de l’énergie solaire : la photosynthèse</w:t>
            </w:r>
          </w:p>
          <w:tbl>
            <w:tblPr>
              <w:tblW w:w="0" w:type="auto"/>
              <w:tblBorders>
                <w:top w:val="nil"/>
                <w:left w:val="nil"/>
                <w:bottom w:val="nil"/>
                <w:right w:val="nil"/>
              </w:tblBorders>
              <w:tblLook w:val="0000" w:firstRow="0" w:lastRow="0" w:firstColumn="0" w:lastColumn="0" w:noHBand="0" w:noVBand="0"/>
            </w:tblPr>
            <w:tblGrid>
              <w:gridCol w:w="14385"/>
            </w:tblGrid>
            <w:tr w:rsidR="00DB499F" w:rsidRPr="00981ECE" w14:paraId="40B2C1D3" w14:textId="77777777" w:rsidTr="0071240D">
              <w:trPr>
                <w:trHeight w:val="356"/>
              </w:trPr>
              <w:tc>
                <w:tcPr>
                  <w:tcW w:w="0" w:type="auto"/>
                </w:tcPr>
                <w:p w14:paraId="3D249D49" w14:textId="7675365A" w:rsidR="00DB499F" w:rsidRPr="00981ECE" w:rsidRDefault="00DB499F" w:rsidP="0071240D">
                  <w:pPr>
                    <w:widowControl/>
                    <w:kinsoku/>
                    <w:autoSpaceDE w:val="0"/>
                    <w:autoSpaceDN w:val="0"/>
                    <w:adjustRightInd w:val="0"/>
                    <w:rPr>
                      <w:rFonts w:ascii="Arial" w:eastAsiaTheme="minorHAnsi" w:hAnsi="Arial" w:cs="Arial"/>
                      <w:color w:val="000000"/>
                      <w:sz w:val="22"/>
                      <w:szCs w:val="22"/>
                      <w:lang w:eastAsia="en-US"/>
                    </w:rPr>
                  </w:pPr>
                  <w:r w:rsidRPr="00DB499F">
                    <w:rPr>
                      <w:rFonts w:ascii="Arial" w:eastAsiaTheme="minorHAnsi" w:hAnsi="Arial" w:cs="Arial"/>
                      <w:color w:val="000000"/>
                      <w:sz w:val="22"/>
                      <w:szCs w:val="22"/>
                      <w:lang w:eastAsia="en-US"/>
                    </w:rPr>
                    <w:t>L’utilisation par la photosynthèse d’une infime partie de l’énergie solaire reçue par la planète fournit l’énergie nécessaire à l’ensemble des êtres vivants (à l’exception de certains milieux très spécifiques non évoqués dans ce programme).</w:t>
                  </w:r>
                </w:p>
              </w:tc>
            </w:tr>
          </w:tbl>
          <w:p w14:paraId="24C2A05C" w14:textId="77777777" w:rsidR="00DB499F" w:rsidRDefault="00DB499F" w:rsidP="0071240D"/>
        </w:tc>
      </w:tr>
      <w:tr w:rsidR="00FB4468" w14:paraId="5AEC2476" w14:textId="77777777" w:rsidTr="3B1F6B6C">
        <w:tc>
          <w:tcPr>
            <w:tcW w:w="3402" w:type="dxa"/>
            <w:vAlign w:val="center"/>
          </w:tcPr>
          <w:p w14:paraId="4FDDECF3" w14:textId="77777777" w:rsidR="00DB499F" w:rsidRDefault="00DB499F" w:rsidP="0071240D">
            <w:bookmarkStart w:id="4" w:name="_Hlk6934373"/>
            <w:r>
              <w:rPr>
                <w:rFonts w:ascii="Arial" w:hAnsi="Arial" w:cs="Arial"/>
                <w:b/>
                <w:bCs/>
                <w:sz w:val="22"/>
                <w:szCs w:val="22"/>
              </w:rPr>
              <w:t>Savoirs</w:t>
            </w:r>
          </w:p>
        </w:tc>
        <w:tc>
          <w:tcPr>
            <w:tcW w:w="2987" w:type="dxa"/>
            <w:vAlign w:val="center"/>
          </w:tcPr>
          <w:p w14:paraId="0FD80477" w14:textId="77777777" w:rsidR="00DB499F" w:rsidRDefault="00DB499F" w:rsidP="0071240D">
            <w:r>
              <w:rPr>
                <w:rFonts w:ascii="Arial" w:hAnsi="Arial" w:cs="Arial"/>
                <w:b/>
                <w:bCs/>
                <w:sz w:val="22"/>
                <w:szCs w:val="22"/>
              </w:rPr>
              <w:t>Savoir-faire</w:t>
            </w:r>
          </w:p>
        </w:tc>
        <w:tc>
          <w:tcPr>
            <w:tcW w:w="2830" w:type="dxa"/>
            <w:shd w:val="clear" w:color="auto" w:fill="BDD6EE" w:themeFill="accent5" w:themeFillTint="66"/>
          </w:tcPr>
          <w:p w14:paraId="6D300911" w14:textId="77777777" w:rsidR="00DB499F" w:rsidRDefault="00DB499F" w:rsidP="0071240D">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405" w:type="dxa"/>
          </w:tcPr>
          <w:p w14:paraId="66D8C816" w14:textId="77777777" w:rsidR="00DB499F" w:rsidRDefault="00DB499F" w:rsidP="0071240D">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s</w:t>
            </w:r>
            <w:r w:rsidRPr="000C5D32">
              <w:rPr>
                <w:rFonts w:asciiTheme="minorHAnsi" w:hAnsiTheme="minorHAnsi" w:cstheme="minorHAnsi"/>
                <w:b/>
              </w:rPr>
              <w:t xml:space="preserve"> en première</w:t>
            </w:r>
          </w:p>
        </w:tc>
        <w:tc>
          <w:tcPr>
            <w:tcW w:w="2977" w:type="dxa"/>
          </w:tcPr>
          <w:p w14:paraId="2580D806" w14:textId="77777777" w:rsidR="00DB499F" w:rsidRDefault="00DB499F" w:rsidP="0071240D">
            <w:r w:rsidRPr="007F4857">
              <w:rPr>
                <w:rFonts w:asciiTheme="minorHAnsi" w:hAnsiTheme="minorHAnsi" w:cstheme="minorHAnsi"/>
                <w:b/>
              </w:rPr>
              <w:t>Liens avec les programmes de spécialité</w:t>
            </w:r>
          </w:p>
        </w:tc>
      </w:tr>
      <w:bookmarkEnd w:id="4"/>
      <w:tr w:rsidR="00C722CD" w14:paraId="5F20020F" w14:textId="77777777" w:rsidTr="3B1F6B6C">
        <w:tc>
          <w:tcPr>
            <w:tcW w:w="3402" w:type="dxa"/>
          </w:tcPr>
          <w:p w14:paraId="59D1B800" w14:textId="77777777" w:rsidR="00C722CD" w:rsidRPr="00DB499F" w:rsidRDefault="00C722CD" w:rsidP="00DB499F">
            <w:pPr>
              <w:pStyle w:val="Default"/>
              <w:rPr>
                <w:sz w:val="22"/>
                <w:szCs w:val="22"/>
              </w:rPr>
            </w:pPr>
            <w:r w:rsidRPr="00DB499F">
              <w:rPr>
                <w:sz w:val="22"/>
                <w:szCs w:val="22"/>
              </w:rPr>
              <w:t xml:space="preserve">Une partie du rayonnement solaire absorbé par les organismes chlorophylliens permet la synthèse de matière organique à partir d'eau, de sels minéraux et de dioxyde de carbone (photosynthèse). </w:t>
            </w:r>
          </w:p>
          <w:p w14:paraId="5D8CACAB" w14:textId="77777777" w:rsidR="00C722CD" w:rsidRPr="00DB499F" w:rsidRDefault="00C722CD" w:rsidP="00DB499F">
            <w:pPr>
              <w:pStyle w:val="Default"/>
              <w:rPr>
                <w:sz w:val="22"/>
                <w:szCs w:val="22"/>
              </w:rPr>
            </w:pPr>
            <w:r w:rsidRPr="00DB499F">
              <w:rPr>
                <w:sz w:val="22"/>
                <w:szCs w:val="22"/>
              </w:rPr>
              <w:t xml:space="preserve">À l’échelle de la planète, les organismes chlorophylliens utilisent pour la photosynthèse environ 0,1% de la puissance solaire totale disponible. À l’échelle de la feuille (pour les plantes), la photosynthèse utilise une très faible fraction de la puissance radiative reçue, le </w:t>
            </w:r>
            <w:r w:rsidRPr="00DB499F">
              <w:rPr>
                <w:sz w:val="22"/>
                <w:szCs w:val="22"/>
              </w:rPr>
              <w:lastRenderedPageBreak/>
              <w:t xml:space="preserve">reste est soit diffusé, soit transmis, soit absorbé (échauffement et </w:t>
            </w:r>
            <w:proofErr w:type="spellStart"/>
            <w:r w:rsidRPr="00DB499F">
              <w:rPr>
                <w:sz w:val="22"/>
                <w:szCs w:val="22"/>
              </w:rPr>
              <w:t>évapo-transpiration</w:t>
            </w:r>
            <w:proofErr w:type="spellEnd"/>
            <w:r w:rsidRPr="00DB499F">
              <w:rPr>
                <w:sz w:val="22"/>
                <w:szCs w:val="22"/>
              </w:rPr>
              <w:t xml:space="preserve">). </w:t>
            </w:r>
          </w:p>
          <w:p w14:paraId="78C8FFB3" w14:textId="77777777" w:rsidR="00C722CD" w:rsidRPr="00DB499F" w:rsidRDefault="00C722CD" w:rsidP="00DB499F">
            <w:pPr>
              <w:pStyle w:val="Default"/>
              <w:rPr>
                <w:sz w:val="22"/>
                <w:szCs w:val="22"/>
              </w:rPr>
            </w:pPr>
            <w:r w:rsidRPr="00DB499F">
              <w:rPr>
                <w:sz w:val="22"/>
                <w:szCs w:val="22"/>
              </w:rPr>
              <w:t xml:space="preserve">La photosynthèse permet l’entrée dans la biosphère de matière minérale stockant de l’énergie sous forme chimique. </w:t>
            </w:r>
          </w:p>
          <w:p w14:paraId="0C56CB03" w14:textId="52065F3A" w:rsidR="00C722CD" w:rsidRPr="00DB499F" w:rsidRDefault="00C722CD" w:rsidP="00DB499F">
            <w:pPr>
              <w:rPr>
                <w:rFonts w:ascii="Arial" w:hAnsi="Arial" w:cs="Arial"/>
              </w:rPr>
            </w:pPr>
            <w:r w:rsidRPr="00DB499F">
              <w:rPr>
                <w:rFonts w:ascii="Arial" w:hAnsi="Arial" w:cs="Arial"/>
                <w:sz w:val="22"/>
                <w:szCs w:val="22"/>
              </w:rPr>
              <w:t xml:space="preserve">Ces molécules peuvent être transformées par respiration ou fermentation pour libérer l’énergie nécessaire au fonctionnement des êtres vivants. </w:t>
            </w:r>
          </w:p>
        </w:tc>
        <w:tc>
          <w:tcPr>
            <w:tcW w:w="2987" w:type="dxa"/>
          </w:tcPr>
          <w:p w14:paraId="59800ECF" w14:textId="77777777" w:rsidR="00C722CD" w:rsidRPr="00DB499F" w:rsidRDefault="00C722CD" w:rsidP="00DB499F">
            <w:pPr>
              <w:pStyle w:val="Default"/>
              <w:rPr>
                <w:sz w:val="22"/>
                <w:szCs w:val="22"/>
              </w:rPr>
            </w:pPr>
            <w:r w:rsidRPr="00DB499F">
              <w:rPr>
                <w:sz w:val="22"/>
                <w:szCs w:val="22"/>
              </w:rPr>
              <w:lastRenderedPageBreak/>
              <w:t xml:space="preserve">Recenser, extraire et organiser des informations pour prendre conscience de l’importance planétaire de la photosynthèse. </w:t>
            </w:r>
          </w:p>
          <w:p w14:paraId="20C4F3C4" w14:textId="77777777" w:rsidR="00C722CD" w:rsidRPr="00DB499F" w:rsidRDefault="00C722CD" w:rsidP="00DB499F">
            <w:pPr>
              <w:pStyle w:val="Default"/>
              <w:rPr>
                <w:sz w:val="22"/>
                <w:szCs w:val="22"/>
              </w:rPr>
            </w:pPr>
            <w:r w:rsidRPr="00DB499F">
              <w:rPr>
                <w:sz w:val="22"/>
                <w:szCs w:val="22"/>
              </w:rPr>
              <w:t xml:space="preserve">Comparer les spectres d’absorption et d’action photosynthétique d’un végétal. </w:t>
            </w:r>
          </w:p>
          <w:p w14:paraId="78B6F8AB" w14:textId="3EC87481" w:rsidR="00C722CD" w:rsidRPr="00DB499F" w:rsidRDefault="00C722CD" w:rsidP="00DB499F">
            <w:pPr>
              <w:rPr>
                <w:rFonts w:ascii="Arial" w:hAnsi="Arial" w:cs="Arial"/>
              </w:rPr>
            </w:pPr>
            <w:r w:rsidRPr="00DB499F">
              <w:rPr>
                <w:rFonts w:ascii="Arial" w:hAnsi="Arial" w:cs="Arial"/>
                <w:sz w:val="22"/>
                <w:szCs w:val="22"/>
              </w:rPr>
              <w:t xml:space="preserve">Représenter sur un schéma les différents échanges d’énergie au niveau d’une feuille. </w:t>
            </w:r>
          </w:p>
        </w:tc>
        <w:tc>
          <w:tcPr>
            <w:tcW w:w="2830" w:type="dxa"/>
            <w:vMerge w:val="restart"/>
            <w:tcBorders>
              <w:top w:val="single" w:sz="4" w:space="0" w:color="auto"/>
            </w:tcBorders>
            <w:shd w:val="clear" w:color="auto" w:fill="BDD6EE" w:themeFill="accent5" w:themeFillTint="66"/>
          </w:tcPr>
          <w:p w14:paraId="06D7D2E7" w14:textId="77777777" w:rsidR="00A77D6F" w:rsidRDefault="00A77D6F" w:rsidP="00A77D6F">
            <w:pPr>
              <w:pStyle w:val="Default"/>
              <w:rPr>
                <w:rFonts w:ascii="Cambria" w:hAnsi="Cambria"/>
                <w:b/>
                <w:iCs/>
                <w:color w:val="538135" w:themeColor="accent6" w:themeShade="BF"/>
                <w:sz w:val="22"/>
                <w:szCs w:val="22"/>
              </w:rPr>
            </w:pPr>
            <w:r>
              <w:rPr>
                <w:rFonts w:ascii="Cambria" w:hAnsi="Cambria"/>
                <w:b/>
                <w:iCs/>
                <w:color w:val="538135" w:themeColor="accent6" w:themeShade="BF"/>
                <w:sz w:val="22"/>
                <w:szCs w:val="22"/>
              </w:rPr>
              <w:t xml:space="preserve">SVT : </w:t>
            </w:r>
          </w:p>
          <w:p w14:paraId="20C28CEF" w14:textId="77777777" w:rsidR="00A77D6F" w:rsidRDefault="00A77D6F" w:rsidP="00A77D6F">
            <w:pPr>
              <w:pStyle w:val="Default"/>
              <w:rPr>
                <w:rFonts w:ascii="Cambria" w:hAnsi="Cambria"/>
                <w:iCs/>
                <w:color w:val="538135" w:themeColor="accent6" w:themeShade="BF"/>
                <w:sz w:val="22"/>
                <w:szCs w:val="22"/>
              </w:rPr>
            </w:pPr>
            <w:r>
              <w:rPr>
                <w:rFonts w:ascii="Cambria" w:hAnsi="Cambria"/>
                <w:iCs/>
                <w:color w:val="538135" w:themeColor="accent6" w:themeShade="BF"/>
                <w:sz w:val="22"/>
                <w:szCs w:val="22"/>
              </w:rPr>
              <w:t>L’étude de quelques réactions du métabolisme dont la photosynthèse révèle que les êtres vivants échangent de la matière et de l’énergie avec leur environnement</w:t>
            </w:r>
          </w:p>
          <w:p w14:paraId="62A57C52" w14:textId="77777777" w:rsidR="00A77D6F" w:rsidRDefault="00A77D6F" w:rsidP="00A77D6F">
            <w:pPr>
              <w:rPr>
                <w:color w:val="538135" w:themeColor="accent6" w:themeShade="BF"/>
              </w:rPr>
            </w:pPr>
            <w:r w:rsidRPr="00A17E64">
              <w:rPr>
                <w:color w:val="538135" w:themeColor="accent6" w:themeShade="BF"/>
              </w:rPr>
              <w:t>Les voies métaboliques sont interconnectées par des molécules intermédiaires des métabolismes</w:t>
            </w:r>
          </w:p>
          <w:p w14:paraId="019F4B48" w14:textId="77777777" w:rsidR="00A77D6F" w:rsidRDefault="00A77D6F" w:rsidP="00A77D6F">
            <w:pPr>
              <w:rPr>
                <w:color w:val="538135" w:themeColor="accent6" w:themeShade="BF"/>
              </w:rPr>
            </w:pPr>
          </w:p>
          <w:p w14:paraId="5717B570" w14:textId="77777777" w:rsidR="00A77D6F" w:rsidRDefault="00A77D6F" w:rsidP="00A77D6F">
            <w:pPr>
              <w:rPr>
                <w:color w:val="538135" w:themeColor="accent6" w:themeShade="BF"/>
              </w:rPr>
            </w:pPr>
            <w:r>
              <w:rPr>
                <w:color w:val="538135" w:themeColor="accent6" w:themeShade="BF"/>
              </w:rPr>
              <w:t xml:space="preserve">La biosphère prélève dans </w:t>
            </w:r>
            <w:r>
              <w:rPr>
                <w:color w:val="538135" w:themeColor="accent6" w:themeShade="BF"/>
              </w:rPr>
              <w:lastRenderedPageBreak/>
              <w:t>les sols des éléments minéraux participant à la production de biomasse</w:t>
            </w:r>
          </w:p>
          <w:p w14:paraId="439870F1" w14:textId="77777777" w:rsidR="00A77D6F" w:rsidRDefault="00A77D6F" w:rsidP="00A77D6F">
            <w:pPr>
              <w:rPr>
                <w:color w:val="538135" w:themeColor="accent6" w:themeShade="BF"/>
              </w:rPr>
            </w:pPr>
          </w:p>
          <w:p w14:paraId="1E6EBC5F" w14:textId="77777777" w:rsidR="00C722CD" w:rsidRDefault="00C722CD" w:rsidP="00DB499F"/>
        </w:tc>
        <w:tc>
          <w:tcPr>
            <w:tcW w:w="2405" w:type="dxa"/>
            <w:vMerge w:val="restart"/>
          </w:tcPr>
          <w:p w14:paraId="193D52EB" w14:textId="79BE19A3" w:rsidR="00C722CD" w:rsidRDefault="00A77D6F" w:rsidP="00DB499F">
            <w:r w:rsidRPr="00A17E64">
              <w:rPr>
                <w:color w:val="538135" w:themeColor="accent6" w:themeShade="BF"/>
              </w:rPr>
              <w:lastRenderedPageBreak/>
              <w:t>Passer de l’étude structurale et fonctionnelle de la cellule chlorophyllienne à une approche énergétique</w:t>
            </w:r>
          </w:p>
        </w:tc>
        <w:tc>
          <w:tcPr>
            <w:tcW w:w="2977" w:type="dxa"/>
            <w:vMerge w:val="restart"/>
          </w:tcPr>
          <w:p w14:paraId="60A2C302" w14:textId="77777777" w:rsidR="00C722CD" w:rsidRDefault="00C722CD" w:rsidP="00DB499F">
            <w:bookmarkStart w:id="5" w:name="_GoBack"/>
            <w:bookmarkEnd w:id="5"/>
          </w:p>
        </w:tc>
      </w:tr>
      <w:tr w:rsidR="00C722CD" w14:paraId="073A12FB" w14:textId="77777777" w:rsidTr="3B1F6B6C">
        <w:tc>
          <w:tcPr>
            <w:tcW w:w="3402" w:type="dxa"/>
          </w:tcPr>
          <w:p w14:paraId="16E270E4" w14:textId="2B2A4B96" w:rsidR="00C722CD" w:rsidRPr="00DB499F" w:rsidRDefault="00C722CD" w:rsidP="00DB499F">
            <w:pPr>
              <w:rPr>
                <w:rFonts w:ascii="Arial" w:hAnsi="Arial" w:cs="Arial"/>
              </w:rPr>
            </w:pPr>
            <w:r w:rsidRPr="00DB499F">
              <w:rPr>
                <w:rFonts w:ascii="Arial" w:hAnsi="Arial" w:cs="Arial"/>
                <w:sz w:val="22"/>
                <w:szCs w:val="22"/>
              </w:rPr>
              <w:t xml:space="preserve">À l’échelle des temps géologiques, une partie de la matière organique s’accumule dans les sédiments puis se transforme en donnant des combustibles fossiles : gaz, charbon, pétrole. </w:t>
            </w:r>
          </w:p>
        </w:tc>
        <w:tc>
          <w:tcPr>
            <w:tcW w:w="2987" w:type="dxa"/>
          </w:tcPr>
          <w:p w14:paraId="081189F6" w14:textId="10A2815A" w:rsidR="00C722CD" w:rsidRPr="00DB499F" w:rsidRDefault="00C722CD" w:rsidP="00DB499F">
            <w:pPr>
              <w:rPr>
                <w:rFonts w:ascii="Arial" w:hAnsi="Arial" w:cs="Arial"/>
              </w:rPr>
            </w:pPr>
            <w:r w:rsidRPr="00DB499F">
              <w:rPr>
                <w:rFonts w:ascii="Arial" w:hAnsi="Arial" w:cs="Arial"/>
                <w:sz w:val="22"/>
                <w:szCs w:val="22"/>
              </w:rPr>
              <w:t xml:space="preserve">À partir de l’étude d’un combustible fossile ou d’une roche de son environnement, discuter son origine biologique. </w:t>
            </w:r>
          </w:p>
        </w:tc>
        <w:tc>
          <w:tcPr>
            <w:tcW w:w="2830" w:type="dxa"/>
            <w:vMerge/>
          </w:tcPr>
          <w:p w14:paraId="23E65F83" w14:textId="77777777" w:rsidR="00C722CD" w:rsidRDefault="00C722CD" w:rsidP="00DB499F"/>
        </w:tc>
        <w:tc>
          <w:tcPr>
            <w:tcW w:w="2405" w:type="dxa"/>
            <w:vMerge/>
          </w:tcPr>
          <w:p w14:paraId="57EAE075" w14:textId="77777777" w:rsidR="00C722CD" w:rsidRDefault="00C722CD" w:rsidP="00DB499F"/>
        </w:tc>
        <w:tc>
          <w:tcPr>
            <w:tcW w:w="2977" w:type="dxa"/>
            <w:vMerge/>
          </w:tcPr>
          <w:p w14:paraId="68B1C75C" w14:textId="77777777" w:rsidR="00C722CD" w:rsidRDefault="00C722CD" w:rsidP="00DB499F"/>
        </w:tc>
      </w:tr>
      <w:tr w:rsidR="00DB499F" w:rsidRPr="00DB499F" w14:paraId="5E17DBE7" w14:textId="77777777" w:rsidTr="3B1F6B6C">
        <w:trPr>
          <w:trHeight w:val="757"/>
        </w:trPr>
        <w:tc>
          <w:tcPr>
            <w:tcW w:w="14601" w:type="dxa"/>
            <w:gridSpan w:val="5"/>
          </w:tcPr>
          <w:p w14:paraId="40E06C4D" w14:textId="77777777" w:rsidR="00DB499F" w:rsidRPr="00DB499F" w:rsidRDefault="00DB499F" w:rsidP="00DB499F">
            <w:pPr>
              <w:widowControl/>
              <w:kinsoku/>
              <w:autoSpaceDE w:val="0"/>
              <w:autoSpaceDN w:val="0"/>
              <w:adjustRightInd w:val="0"/>
              <w:rPr>
                <w:rFonts w:ascii="Arial" w:eastAsiaTheme="minorHAnsi" w:hAnsi="Arial" w:cs="Arial"/>
                <w:color w:val="000000"/>
                <w:sz w:val="22"/>
                <w:szCs w:val="22"/>
                <w:lang w:eastAsia="en-US"/>
              </w:rPr>
            </w:pPr>
            <w:r w:rsidRPr="00DB499F">
              <w:rPr>
                <w:rFonts w:ascii="Arial" w:eastAsiaTheme="minorHAnsi" w:hAnsi="Arial" w:cs="Arial"/>
                <w:b/>
                <w:bCs/>
                <w:color w:val="000000"/>
                <w:sz w:val="22"/>
                <w:szCs w:val="22"/>
                <w:lang w:eastAsia="en-US"/>
              </w:rPr>
              <w:t xml:space="preserve">Prérequis et limites </w:t>
            </w:r>
          </w:p>
          <w:p w14:paraId="7CA7A37B" w14:textId="77777777" w:rsidR="00DB499F" w:rsidRPr="00DB499F" w:rsidRDefault="00DB499F" w:rsidP="00DB499F">
            <w:pPr>
              <w:widowControl/>
              <w:kinsoku/>
              <w:autoSpaceDE w:val="0"/>
              <w:autoSpaceDN w:val="0"/>
              <w:adjustRightInd w:val="0"/>
              <w:rPr>
                <w:rFonts w:ascii="Arial" w:eastAsiaTheme="minorHAnsi" w:hAnsi="Arial" w:cs="Arial"/>
                <w:color w:val="000000"/>
                <w:sz w:val="22"/>
                <w:szCs w:val="22"/>
                <w:lang w:eastAsia="en-US"/>
              </w:rPr>
            </w:pPr>
            <w:r w:rsidRPr="00DB499F">
              <w:rPr>
                <w:rFonts w:ascii="Arial" w:eastAsiaTheme="minorHAnsi" w:hAnsi="Arial" w:cs="Arial"/>
                <w:color w:val="000000"/>
                <w:sz w:val="22"/>
                <w:szCs w:val="22"/>
                <w:lang w:eastAsia="en-US"/>
              </w:rPr>
              <w:t xml:space="preserve">Les notions de biologie et géologie utiles à ce paragraphe, déjà connues, sont remobilisées (photosynthèse, respiration, fermentation, sédimentation, combustible fossile). Sans les approfondir, il s’agit de montrer comment elles sont utiles pour comprendre les flux d’énergie à différentes échelles. </w:t>
            </w:r>
          </w:p>
          <w:p w14:paraId="463799E6" w14:textId="77777777" w:rsidR="00DB499F" w:rsidRPr="00DB499F" w:rsidRDefault="00DB499F" w:rsidP="00DB499F">
            <w:pPr>
              <w:widowControl/>
              <w:kinsoku/>
              <w:autoSpaceDE w:val="0"/>
              <w:autoSpaceDN w:val="0"/>
              <w:adjustRightInd w:val="0"/>
              <w:rPr>
                <w:rFonts w:ascii="Arial" w:eastAsiaTheme="minorHAnsi" w:hAnsi="Arial" w:cs="Arial"/>
                <w:color w:val="000000"/>
                <w:sz w:val="22"/>
                <w:szCs w:val="22"/>
                <w:lang w:eastAsia="en-US"/>
              </w:rPr>
            </w:pPr>
            <w:r w:rsidRPr="00DB499F">
              <w:rPr>
                <w:rFonts w:ascii="Arial" w:eastAsiaTheme="minorHAnsi" w:hAnsi="Arial" w:cs="Arial"/>
                <w:b/>
                <w:color w:val="002060"/>
                <w:sz w:val="22"/>
                <w:szCs w:val="22"/>
                <w:lang w:eastAsia="en-US"/>
              </w:rPr>
              <w:t>Aucun développement sur les mécanismes cellulaires et moléculaires n’est exigible</w:t>
            </w:r>
            <w:r w:rsidRPr="00DB499F">
              <w:rPr>
                <w:rFonts w:ascii="Arial" w:eastAsiaTheme="minorHAnsi" w:hAnsi="Arial" w:cs="Arial"/>
                <w:color w:val="000000"/>
                <w:sz w:val="22"/>
                <w:szCs w:val="22"/>
                <w:lang w:eastAsia="en-US"/>
              </w:rPr>
              <w:t xml:space="preserve">. </w:t>
            </w:r>
          </w:p>
        </w:tc>
      </w:tr>
      <w:tr w:rsidR="00FB4468" w14:paraId="0CDCEB60" w14:textId="77777777" w:rsidTr="3B1F6B6C">
        <w:tc>
          <w:tcPr>
            <w:tcW w:w="14601" w:type="dxa"/>
            <w:gridSpan w:val="5"/>
          </w:tcPr>
          <w:p w14:paraId="37E8F544" w14:textId="6A5071DB" w:rsidR="00FB4468" w:rsidRDefault="00FB4468" w:rsidP="00FB4468">
            <w:pPr>
              <w:spacing w:before="72"/>
              <w:ind w:left="34"/>
              <w:rPr>
                <w:rFonts w:ascii="Arial" w:hAnsi="Arial" w:cs="Arial"/>
                <w:b/>
                <w:bCs/>
                <w:color w:val="17818E"/>
                <w:spacing w:val="-4"/>
                <w:w w:val="105"/>
                <w:sz w:val="22"/>
                <w:szCs w:val="22"/>
              </w:rPr>
            </w:pPr>
            <w:r>
              <w:rPr>
                <w:rFonts w:ascii="Arial" w:hAnsi="Arial" w:cs="Arial"/>
                <w:b/>
                <w:bCs/>
                <w:color w:val="17818E"/>
                <w:spacing w:val="-4"/>
                <w:w w:val="105"/>
                <w:sz w:val="22"/>
                <w:szCs w:val="22"/>
              </w:rPr>
              <w:t>2.4 – Le bilan thermique du corps humain</w:t>
            </w:r>
          </w:p>
          <w:tbl>
            <w:tblPr>
              <w:tblW w:w="0" w:type="auto"/>
              <w:tblBorders>
                <w:top w:val="nil"/>
                <w:left w:val="nil"/>
                <w:bottom w:val="nil"/>
                <w:right w:val="nil"/>
              </w:tblBorders>
              <w:tblLook w:val="0000" w:firstRow="0" w:lastRow="0" w:firstColumn="0" w:lastColumn="0" w:noHBand="0" w:noVBand="0"/>
            </w:tblPr>
            <w:tblGrid>
              <w:gridCol w:w="9567"/>
            </w:tblGrid>
            <w:tr w:rsidR="00FB4468" w:rsidRPr="00981ECE" w14:paraId="0872CB74" w14:textId="77777777" w:rsidTr="0E3BE76E">
              <w:trPr>
                <w:trHeight w:val="356"/>
              </w:trPr>
              <w:tc>
                <w:tcPr>
                  <w:tcW w:w="0" w:type="auto"/>
                </w:tcPr>
                <w:tbl>
                  <w:tblPr>
                    <w:tblW w:w="0" w:type="auto"/>
                    <w:tblBorders>
                      <w:top w:val="nil"/>
                      <w:left w:val="nil"/>
                      <w:bottom w:val="nil"/>
                      <w:right w:val="nil"/>
                    </w:tblBorders>
                    <w:tblLook w:val="0000" w:firstRow="0" w:lastRow="0" w:firstColumn="0" w:lastColumn="0" w:noHBand="0" w:noVBand="0"/>
                  </w:tblPr>
                  <w:tblGrid>
                    <w:gridCol w:w="9351"/>
                  </w:tblGrid>
                  <w:tr w:rsidR="00FB4468" w:rsidRPr="00FB4468" w14:paraId="5B9C5E7C" w14:textId="77777777" w:rsidTr="0E3BE76E">
                    <w:trPr>
                      <w:trHeight w:val="103"/>
                    </w:trPr>
                    <w:tc>
                      <w:tcPr>
                        <w:tcW w:w="0" w:type="auto"/>
                      </w:tcPr>
                      <w:p w14:paraId="1CBB619C" w14:textId="5F7C8001" w:rsidR="00FB4468" w:rsidRPr="00FB4468" w:rsidRDefault="0E3BE76E" w:rsidP="0E3BE76E">
                        <w:pPr>
                          <w:widowControl/>
                          <w:kinsoku/>
                          <w:autoSpaceDE w:val="0"/>
                          <w:autoSpaceDN w:val="0"/>
                          <w:adjustRightInd w:val="0"/>
                          <w:rPr>
                            <w:rFonts w:ascii="Arial" w:hAnsi="Arial" w:cs="Arial"/>
                            <w:color w:val="000000" w:themeColor="text1"/>
                            <w:sz w:val="22"/>
                            <w:szCs w:val="22"/>
                            <w:lang w:eastAsia="en-US"/>
                          </w:rPr>
                        </w:pPr>
                        <w:r w:rsidRPr="0E3BE76E">
                          <w:rPr>
                            <w:rFonts w:ascii="Arial" w:hAnsi="Arial" w:cs="Arial"/>
                            <w:color w:val="000000" w:themeColor="text1"/>
                            <w:sz w:val="22"/>
                            <w:szCs w:val="22"/>
                            <w:lang w:eastAsia="en-US"/>
                          </w:rPr>
                          <w:t xml:space="preserve">La température du corps est stable. Cette stabilité résulte d’un ensemble de flux présentés ici. </w:t>
                        </w:r>
                      </w:p>
                    </w:tc>
                  </w:tr>
                </w:tbl>
                <w:p w14:paraId="7F15F55C" w14:textId="6F5B4D8F" w:rsidR="00FB4468" w:rsidRPr="00981ECE" w:rsidRDefault="00FB4468" w:rsidP="00FB4468">
                  <w:pPr>
                    <w:widowControl/>
                    <w:kinsoku/>
                    <w:autoSpaceDE w:val="0"/>
                    <w:autoSpaceDN w:val="0"/>
                    <w:adjustRightInd w:val="0"/>
                    <w:rPr>
                      <w:rFonts w:ascii="Arial" w:eastAsiaTheme="minorHAnsi" w:hAnsi="Arial" w:cs="Arial"/>
                      <w:color w:val="000000"/>
                      <w:sz w:val="22"/>
                      <w:szCs w:val="22"/>
                      <w:lang w:eastAsia="en-US"/>
                    </w:rPr>
                  </w:pPr>
                </w:p>
              </w:tc>
            </w:tr>
          </w:tbl>
          <w:p w14:paraId="7AFB118B" w14:textId="77777777" w:rsidR="00FB4468" w:rsidRDefault="00FB4468" w:rsidP="003C7800"/>
        </w:tc>
      </w:tr>
      <w:tr w:rsidR="00FB4468" w14:paraId="6FDBEDC7" w14:textId="77777777" w:rsidTr="3B1F6B6C">
        <w:tc>
          <w:tcPr>
            <w:tcW w:w="3402" w:type="dxa"/>
            <w:vAlign w:val="center"/>
          </w:tcPr>
          <w:p w14:paraId="656E8321" w14:textId="77777777" w:rsidR="00FB4468" w:rsidRDefault="00FB4468" w:rsidP="0071240D">
            <w:r>
              <w:rPr>
                <w:rFonts w:ascii="Arial" w:hAnsi="Arial" w:cs="Arial"/>
                <w:b/>
                <w:bCs/>
                <w:sz w:val="22"/>
                <w:szCs w:val="22"/>
              </w:rPr>
              <w:t>Savoirs</w:t>
            </w:r>
          </w:p>
        </w:tc>
        <w:tc>
          <w:tcPr>
            <w:tcW w:w="2987" w:type="dxa"/>
            <w:vAlign w:val="center"/>
          </w:tcPr>
          <w:p w14:paraId="5BA97ED9" w14:textId="77777777" w:rsidR="00FB4468" w:rsidRDefault="00FB4468" w:rsidP="0071240D">
            <w:r>
              <w:rPr>
                <w:rFonts w:ascii="Arial" w:hAnsi="Arial" w:cs="Arial"/>
                <w:b/>
                <w:bCs/>
                <w:sz w:val="22"/>
                <w:szCs w:val="22"/>
              </w:rPr>
              <w:t>Savoir-faire</w:t>
            </w:r>
          </w:p>
        </w:tc>
        <w:tc>
          <w:tcPr>
            <w:tcW w:w="2830" w:type="dxa"/>
            <w:shd w:val="clear" w:color="auto" w:fill="BDD6EE" w:themeFill="accent5" w:themeFillTint="66"/>
          </w:tcPr>
          <w:p w14:paraId="10744053" w14:textId="77777777" w:rsidR="00FB4468" w:rsidRDefault="00FB4468" w:rsidP="0071240D">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405" w:type="dxa"/>
          </w:tcPr>
          <w:p w14:paraId="56D45C6F" w14:textId="77777777" w:rsidR="00FB4468" w:rsidRDefault="00FB4468" w:rsidP="0071240D">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s</w:t>
            </w:r>
            <w:r w:rsidRPr="000C5D32">
              <w:rPr>
                <w:rFonts w:asciiTheme="minorHAnsi" w:hAnsiTheme="minorHAnsi" w:cstheme="minorHAnsi"/>
                <w:b/>
              </w:rPr>
              <w:t xml:space="preserve"> en première</w:t>
            </w:r>
          </w:p>
        </w:tc>
        <w:tc>
          <w:tcPr>
            <w:tcW w:w="2977" w:type="dxa"/>
          </w:tcPr>
          <w:p w14:paraId="2BEAF594" w14:textId="77777777" w:rsidR="00FB4468" w:rsidRDefault="00FB4468" w:rsidP="0071240D">
            <w:r w:rsidRPr="007F4857">
              <w:rPr>
                <w:rFonts w:asciiTheme="minorHAnsi" w:hAnsiTheme="minorHAnsi" w:cstheme="minorHAnsi"/>
                <w:b/>
              </w:rPr>
              <w:t>Liens avec les programmes de spécialité</w:t>
            </w:r>
          </w:p>
        </w:tc>
      </w:tr>
      <w:tr w:rsidR="00FB4468" w14:paraId="552C3040" w14:textId="77777777" w:rsidTr="3B1F6B6C">
        <w:tc>
          <w:tcPr>
            <w:tcW w:w="3402" w:type="dxa"/>
          </w:tcPr>
          <w:p w14:paraId="754DA17E" w14:textId="0364D155" w:rsidR="00FB4468" w:rsidRPr="00FB4468" w:rsidRDefault="00FB4468" w:rsidP="00FB4468">
            <w:pPr>
              <w:rPr>
                <w:rFonts w:ascii="Arial" w:hAnsi="Arial" w:cs="Arial"/>
              </w:rPr>
            </w:pPr>
            <w:r w:rsidRPr="00FB4468">
              <w:rPr>
                <w:rFonts w:ascii="Arial" w:hAnsi="Arial" w:cs="Arial"/>
              </w:rPr>
              <w:t xml:space="preserve">La température du corps reste stable parce que l’énergie qu’il libère est compensée par l’énergie </w:t>
            </w:r>
            <w:r w:rsidRPr="00FB4468">
              <w:rPr>
                <w:rFonts w:ascii="Arial" w:hAnsi="Arial" w:cs="Arial"/>
              </w:rPr>
              <w:lastRenderedPageBreak/>
              <w:t>dégagée par la respiration cellulaire ou les fermentations.</w:t>
            </w:r>
          </w:p>
        </w:tc>
        <w:tc>
          <w:tcPr>
            <w:tcW w:w="2987" w:type="dxa"/>
          </w:tcPr>
          <w:p w14:paraId="3E395370" w14:textId="4DBF6526" w:rsidR="00FB4468" w:rsidRPr="00FB4468" w:rsidRDefault="00FB4468" w:rsidP="00FB4468">
            <w:pPr>
              <w:rPr>
                <w:rFonts w:ascii="Arial" w:hAnsi="Arial" w:cs="Arial"/>
              </w:rPr>
            </w:pPr>
            <w:r w:rsidRPr="00FB4468">
              <w:rPr>
                <w:rFonts w:ascii="Arial" w:hAnsi="Arial" w:cs="Arial"/>
              </w:rPr>
              <w:lastRenderedPageBreak/>
              <w:t xml:space="preserve">La température du corps reste stable parce que l’énergie qu’il libère est compensée par l’énergie </w:t>
            </w:r>
            <w:r w:rsidRPr="00FB4468">
              <w:rPr>
                <w:rFonts w:ascii="Arial" w:hAnsi="Arial" w:cs="Arial"/>
              </w:rPr>
              <w:lastRenderedPageBreak/>
              <w:t>dégagée par la respiration cellulaire ou les fermentations.</w:t>
            </w:r>
          </w:p>
        </w:tc>
        <w:tc>
          <w:tcPr>
            <w:tcW w:w="2830" w:type="dxa"/>
            <w:tcBorders>
              <w:top w:val="single" w:sz="4" w:space="0" w:color="auto"/>
              <w:bottom w:val="single" w:sz="4" w:space="0" w:color="auto"/>
            </w:tcBorders>
            <w:shd w:val="clear" w:color="auto" w:fill="BDD6EE" w:themeFill="accent5" w:themeFillTint="66"/>
          </w:tcPr>
          <w:p w14:paraId="3842C27C" w14:textId="77777777" w:rsidR="00FB4468" w:rsidRDefault="00FB4468" w:rsidP="00FB4468"/>
        </w:tc>
        <w:tc>
          <w:tcPr>
            <w:tcW w:w="2405" w:type="dxa"/>
          </w:tcPr>
          <w:p w14:paraId="742BDDDE" w14:textId="77777777" w:rsidR="00FB4468" w:rsidRDefault="00FB4468" w:rsidP="00FB4468"/>
        </w:tc>
        <w:tc>
          <w:tcPr>
            <w:tcW w:w="2977" w:type="dxa"/>
          </w:tcPr>
          <w:p w14:paraId="51EB9126" w14:textId="77777777" w:rsidR="00FB4468" w:rsidRDefault="00FB4468" w:rsidP="00FB4468"/>
        </w:tc>
      </w:tr>
      <w:tr w:rsidR="00FB4468" w14:paraId="12B288B6" w14:textId="77777777" w:rsidTr="3B1F6B6C">
        <w:tc>
          <w:tcPr>
            <w:tcW w:w="14601" w:type="dxa"/>
            <w:gridSpan w:val="5"/>
          </w:tcPr>
          <w:tbl>
            <w:tblPr>
              <w:tblW w:w="0" w:type="auto"/>
              <w:tblBorders>
                <w:top w:val="nil"/>
                <w:left w:val="nil"/>
                <w:bottom w:val="nil"/>
                <w:right w:val="nil"/>
              </w:tblBorders>
              <w:tblLook w:val="0000" w:firstRow="0" w:lastRow="0" w:firstColumn="0" w:lastColumn="0" w:noHBand="0" w:noVBand="0"/>
            </w:tblPr>
            <w:tblGrid>
              <w:gridCol w:w="10740"/>
            </w:tblGrid>
            <w:tr w:rsidR="00FB4468" w:rsidRPr="00FB4468" w14:paraId="3A262122" w14:textId="77777777">
              <w:trPr>
                <w:trHeight w:val="505"/>
              </w:trPr>
              <w:tc>
                <w:tcPr>
                  <w:tcW w:w="0" w:type="auto"/>
                </w:tcPr>
                <w:p w14:paraId="03952962" w14:textId="77777777" w:rsidR="00FB4468" w:rsidRPr="00FB4468" w:rsidRDefault="00FB4468" w:rsidP="00FB4468">
                  <w:pPr>
                    <w:rPr>
                      <w:rFonts w:ascii="Arial" w:hAnsi="Arial" w:cs="Arial"/>
                    </w:rPr>
                  </w:pPr>
                  <w:r w:rsidRPr="00FB4468">
                    <w:rPr>
                      <w:rFonts w:ascii="Arial" w:hAnsi="Arial" w:cs="Arial"/>
                      <w:b/>
                      <w:bCs/>
                    </w:rPr>
                    <w:t xml:space="preserve">Prérequis et limites </w:t>
                  </w:r>
                </w:p>
                <w:p w14:paraId="0C61411D" w14:textId="77777777" w:rsidR="00FB4468" w:rsidRPr="00FB4468" w:rsidRDefault="00FB4468" w:rsidP="00FB4468">
                  <w:pPr>
                    <w:rPr>
                      <w:rFonts w:ascii="Arial" w:hAnsi="Arial" w:cs="Arial"/>
                    </w:rPr>
                  </w:pPr>
                  <w:r w:rsidRPr="00FB4468">
                    <w:rPr>
                      <w:rFonts w:ascii="Arial" w:hAnsi="Arial" w:cs="Arial"/>
                    </w:rPr>
                    <w:t xml:space="preserve">Les notions de conservation et de conversion d’énergie, déjà connues, sont remobilisées. </w:t>
                  </w:r>
                </w:p>
                <w:p w14:paraId="0A0BA4F8" w14:textId="77777777" w:rsidR="00FB4468" w:rsidRPr="00FB4468" w:rsidRDefault="00FB4468" w:rsidP="00FB4468">
                  <w:pPr>
                    <w:rPr>
                      <w:rFonts w:ascii="Arial" w:hAnsi="Arial" w:cs="Arial"/>
                    </w:rPr>
                  </w:pPr>
                  <w:r w:rsidRPr="00FB4468">
                    <w:rPr>
                      <w:rFonts w:ascii="Arial" w:hAnsi="Arial" w:cs="Arial"/>
                    </w:rPr>
                    <w:t xml:space="preserve">La respiration et le rôle énergétique des aliments, déjà connus, sont remobilisés. </w:t>
                  </w:r>
                </w:p>
                <w:p w14:paraId="7BC470BE" w14:textId="77777777" w:rsidR="00FB4468" w:rsidRPr="00FB4468" w:rsidRDefault="00FB4468" w:rsidP="00FB4468">
                  <w:pPr>
                    <w:rPr>
                      <w:rFonts w:ascii="Arial" w:hAnsi="Arial" w:cs="Arial"/>
                      <w:b/>
                    </w:rPr>
                  </w:pPr>
                  <w:r w:rsidRPr="00FB4468">
                    <w:rPr>
                      <w:rFonts w:ascii="Arial" w:hAnsi="Arial" w:cs="Arial"/>
                      <w:b/>
                      <w:color w:val="002060"/>
                    </w:rPr>
                    <w:t xml:space="preserve">Aucun développement n’est attendu concernant les mécanismes cellulaires et moléculaires. </w:t>
                  </w:r>
                </w:p>
              </w:tc>
            </w:tr>
          </w:tbl>
          <w:p w14:paraId="0B6A93BE" w14:textId="77777777" w:rsidR="00FB4468" w:rsidRDefault="00FB4468" w:rsidP="003C7800"/>
        </w:tc>
      </w:tr>
    </w:tbl>
    <w:p w14:paraId="5B6F1BAE" w14:textId="5085BB00" w:rsidR="003D64B8" w:rsidRDefault="003D64B8" w:rsidP="003D64B8">
      <w:pPr>
        <w:tabs>
          <w:tab w:val="left" w:pos="1216"/>
        </w:tabs>
      </w:pPr>
    </w:p>
    <w:tbl>
      <w:tblPr>
        <w:tblStyle w:val="Grilledutableau"/>
        <w:tblW w:w="14601" w:type="dxa"/>
        <w:tblInd w:w="-572" w:type="dxa"/>
        <w:tblLook w:val="04A0" w:firstRow="1" w:lastRow="0" w:firstColumn="1" w:lastColumn="0" w:noHBand="0" w:noVBand="1"/>
      </w:tblPr>
      <w:tblGrid>
        <w:gridCol w:w="3402"/>
        <w:gridCol w:w="3147"/>
        <w:gridCol w:w="2986"/>
        <w:gridCol w:w="2470"/>
        <w:gridCol w:w="2596"/>
      </w:tblGrid>
      <w:tr w:rsidR="003D64B8" w14:paraId="1E879E84" w14:textId="77777777" w:rsidTr="00C722CD">
        <w:trPr>
          <w:trHeight w:val="322"/>
        </w:trPr>
        <w:tc>
          <w:tcPr>
            <w:tcW w:w="14601" w:type="dxa"/>
            <w:gridSpan w:val="5"/>
            <w:shd w:val="clear" w:color="auto" w:fill="297C8D"/>
          </w:tcPr>
          <w:p w14:paraId="47DA58A5" w14:textId="00DA0120" w:rsidR="003D64B8" w:rsidRDefault="00C80C95" w:rsidP="0071240D">
            <w:r>
              <w:rPr>
                <w:rFonts w:ascii="Arial" w:hAnsi="Arial" w:cs="Arial"/>
                <w:b/>
                <w:bCs/>
                <w:color w:val="FFFFFF" w:themeColor="background1"/>
                <w:spacing w:val="-1"/>
                <w:w w:val="105"/>
                <w:sz w:val="22"/>
                <w:szCs w:val="22"/>
              </w:rPr>
              <w:t>3</w:t>
            </w:r>
            <w:r w:rsidR="003D64B8" w:rsidRPr="003D64B8">
              <w:rPr>
                <w:rFonts w:ascii="Arial" w:hAnsi="Arial" w:cs="Arial"/>
                <w:b/>
                <w:bCs/>
                <w:color w:val="FFFFFF" w:themeColor="background1"/>
                <w:spacing w:val="-1"/>
                <w:w w:val="105"/>
                <w:sz w:val="22"/>
                <w:szCs w:val="22"/>
              </w:rPr>
              <w:t xml:space="preserve"> – </w:t>
            </w:r>
            <w:r w:rsidR="00AB6432">
              <w:rPr>
                <w:rFonts w:ascii="Arial" w:hAnsi="Arial" w:cs="Arial"/>
                <w:b/>
                <w:bCs/>
                <w:color w:val="FFFFFF" w:themeColor="background1"/>
                <w:spacing w:val="-1"/>
                <w:w w:val="105"/>
                <w:sz w:val="22"/>
                <w:szCs w:val="22"/>
              </w:rPr>
              <w:t>La Terre, un astre singulier</w:t>
            </w:r>
          </w:p>
        </w:tc>
      </w:tr>
      <w:tr w:rsidR="00C80C95" w:rsidRPr="00C80C95" w14:paraId="7E05C574" w14:textId="77777777" w:rsidTr="00C722CD">
        <w:trPr>
          <w:trHeight w:val="482"/>
        </w:trPr>
        <w:tc>
          <w:tcPr>
            <w:tcW w:w="14601" w:type="dxa"/>
            <w:gridSpan w:val="5"/>
          </w:tcPr>
          <w:p w14:paraId="00A611CE"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La Terre, singulière parmi un nombre gigantesque de planètes, est un objet d’étude ancien. Les évidences apparentes et les récits non scientifiques ont d’abord conduit à de premières représentations. La compréhension scientifique de sa forme, son âge et son mouvement résulte d’un long cheminement, émaillé de controverses. </w:t>
            </w:r>
          </w:p>
        </w:tc>
      </w:tr>
      <w:tr w:rsidR="00C80C95" w:rsidRPr="00C80C95" w14:paraId="1420C8F3" w14:textId="77777777" w:rsidTr="00455303">
        <w:trPr>
          <w:trHeight w:val="552"/>
        </w:trPr>
        <w:tc>
          <w:tcPr>
            <w:tcW w:w="14601" w:type="dxa"/>
            <w:gridSpan w:val="5"/>
          </w:tcPr>
          <w:p w14:paraId="3E74E722"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b/>
                <w:bCs/>
                <w:color w:val="000000"/>
                <w:sz w:val="22"/>
                <w:szCs w:val="22"/>
                <w:lang w:eastAsia="en-US"/>
              </w:rPr>
              <w:t xml:space="preserve">Histoire, enjeux et débats </w:t>
            </w:r>
          </w:p>
          <w:p w14:paraId="25D3C943"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L’histoire de la mesure du méridien terrestre par Ératosthène (et les hypothèses d’Anaxagore). </w:t>
            </w:r>
          </w:p>
          <w:p w14:paraId="48DCD4E0"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L’histoire de la mesure du méridien terrestre par Delambre et Méchain (détermination de la longueur du méridien reliant Dunkerque à Barcelone). </w:t>
            </w:r>
          </w:p>
          <w:p w14:paraId="5ADF5E6E"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Histoire de la définition du mètre. </w:t>
            </w:r>
          </w:p>
          <w:p w14:paraId="46367F9F"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Quelques grandes étapes de l’étude de l’âge de la Terre : Buffon, Darwin, Kelvin, Rutherford. </w:t>
            </w:r>
          </w:p>
          <w:p w14:paraId="33CAD28D"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Modalités de la construction d’une approche scientifique d’une question controversée pour aboutir à un résultat stabilisé. </w:t>
            </w:r>
          </w:p>
          <w:p w14:paraId="06FC3242"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Grandes étapes de la controverse sur l’organisation du système solaire : Ptolémée, Copernic, Galilée, Kepler, Tycho Brahe, Newton. </w:t>
            </w:r>
          </w:p>
        </w:tc>
      </w:tr>
      <w:tr w:rsidR="003D64B8" w14:paraId="17BDE90F" w14:textId="77777777" w:rsidTr="00C722CD">
        <w:tc>
          <w:tcPr>
            <w:tcW w:w="14601" w:type="dxa"/>
            <w:gridSpan w:val="5"/>
          </w:tcPr>
          <w:p w14:paraId="758FC3EC" w14:textId="2BB8C366" w:rsidR="003D64B8" w:rsidRDefault="00C80C95" w:rsidP="0071240D">
            <w:pPr>
              <w:spacing w:before="72"/>
              <w:ind w:left="34"/>
              <w:rPr>
                <w:rFonts w:ascii="Arial" w:hAnsi="Arial" w:cs="Arial"/>
                <w:b/>
                <w:bCs/>
                <w:color w:val="17818E"/>
                <w:spacing w:val="-4"/>
                <w:w w:val="105"/>
                <w:sz w:val="22"/>
                <w:szCs w:val="22"/>
              </w:rPr>
            </w:pPr>
            <w:r>
              <w:rPr>
                <w:rFonts w:ascii="Arial" w:hAnsi="Arial" w:cs="Arial"/>
                <w:b/>
                <w:bCs/>
                <w:color w:val="17818E"/>
                <w:spacing w:val="-4"/>
                <w:w w:val="105"/>
                <w:sz w:val="22"/>
                <w:szCs w:val="22"/>
              </w:rPr>
              <w:t>3</w:t>
            </w:r>
            <w:r w:rsidR="003D64B8">
              <w:rPr>
                <w:rFonts w:ascii="Arial" w:hAnsi="Arial" w:cs="Arial"/>
                <w:b/>
                <w:bCs/>
                <w:color w:val="17818E"/>
                <w:spacing w:val="-4"/>
                <w:w w:val="105"/>
                <w:sz w:val="22"/>
                <w:szCs w:val="22"/>
              </w:rPr>
              <w:t>.1 – L</w:t>
            </w:r>
            <w:r>
              <w:rPr>
                <w:rFonts w:ascii="Arial" w:hAnsi="Arial" w:cs="Arial"/>
                <w:b/>
                <w:bCs/>
                <w:color w:val="17818E"/>
                <w:spacing w:val="-4"/>
                <w:w w:val="105"/>
                <w:sz w:val="22"/>
                <w:szCs w:val="22"/>
              </w:rPr>
              <w:t>a forme de la Terre</w:t>
            </w:r>
          </w:p>
          <w:tbl>
            <w:tblPr>
              <w:tblW w:w="0" w:type="auto"/>
              <w:tblBorders>
                <w:top w:val="nil"/>
                <w:left w:val="nil"/>
                <w:bottom w:val="nil"/>
                <w:right w:val="nil"/>
              </w:tblBorders>
              <w:tblLook w:val="0000" w:firstRow="0" w:lastRow="0" w:firstColumn="0" w:lastColumn="0" w:noHBand="0" w:noVBand="0"/>
            </w:tblPr>
            <w:tblGrid>
              <w:gridCol w:w="14385"/>
            </w:tblGrid>
            <w:tr w:rsidR="00C80C95" w:rsidRPr="00C80C95" w14:paraId="15295801" w14:textId="77777777">
              <w:trPr>
                <w:trHeight w:val="735"/>
              </w:trPr>
              <w:tc>
                <w:tcPr>
                  <w:tcW w:w="0" w:type="auto"/>
                </w:tcPr>
                <w:p w14:paraId="63F04F91" w14:textId="77777777" w:rsidR="00C80C95" w:rsidRPr="00C80C95" w:rsidRDefault="00C80C95" w:rsidP="00C80C95">
                  <w:pPr>
                    <w:widowControl/>
                    <w:kinsoku/>
                    <w:autoSpaceDE w:val="0"/>
                    <w:autoSpaceDN w:val="0"/>
                    <w:adjustRightInd w:val="0"/>
                    <w:rPr>
                      <w:rFonts w:ascii="Arial" w:eastAsiaTheme="minorHAnsi" w:hAnsi="Arial" w:cs="Arial"/>
                      <w:color w:val="000000"/>
                      <w:sz w:val="22"/>
                      <w:szCs w:val="22"/>
                      <w:lang w:eastAsia="en-US"/>
                    </w:rPr>
                  </w:pPr>
                  <w:r w:rsidRPr="00C80C95">
                    <w:rPr>
                      <w:rFonts w:ascii="Arial" w:eastAsiaTheme="minorHAnsi" w:hAnsi="Arial" w:cs="Arial"/>
                      <w:color w:val="000000"/>
                      <w:sz w:val="22"/>
                      <w:szCs w:val="22"/>
                      <w:lang w:eastAsia="en-US"/>
                    </w:rPr>
                    <w:t xml:space="preserve">L’environnement « plat » à notre échelle de perception cache la forme réelle de la Terre, dont la compréhension résulte d’une longue réflexion. Au-delà de la dimension historique et culturelle, la mise en </w:t>
                  </w:r>
                  <w:proofErr w:type="spellStart"/>
                  <w:r w:rsidRPr="00C80C95">
                    <w:rPr>
                      <w:rFonts w:ascii="Arial" w:eastAsiaTheme="minorHAnsi" w:hAnsi="Arial" w:cs="Arial"/>
                      <w:color w:val="000000"/>
                      <w:sz w:val="22"/>
                      <w:szCs w:val="22"/>
                      <w:lang w:eastAsia="en-US"/>
                    </w:rPr>
                    <w:t>oeuvre</w:t>
                  </w:r>
                  <w:proofErr w:type="spellEnd"/>
                  <w:r w:rsidRPr="00C80C95">
                    <w:rPr>
                      <w:rFonts w:ascii="Arial" w:eastAsiaTheme="minorHAnsi" w:hAnsi="Arial" w:cs="Arial"/>
                      <w:color w:val="000000"/>
                      <w:sz w:val="22"/>
                      <w:szCs w:val="22"/>
                      <w:lang w:eastAsia="en-US"/>
                    </w:rPr>
                    <w:t xml:space="preserve"> de différentes méthodes de calcul de longueurs à la surface de la Terre permet de développer des compétences mathématiques de calcul et de représentation et invite à exercer un esprit critique sur les différents résultats obtenus, les approximations réalisées et les limites d’un modèle. </w:t>
                  </w:r>
                </w:p>
              </w:tc>
            </w:tr>
          </w:tbl>
          <w:p w14:paraId="275C3730" w14:textId="77777777" w:rsidR="003D64B8" w:rsidRDefault="003D64B8" w:rsidP="0071240D"/>
        </w:tc>
      </w:tr>
      <w:tr w:rsidR="00803F6A" w:rsidRPr="007F4857" w14:paraId="3B0DE938" w14:textId="77777777" w:rsidTr="00EA09F2">
        <w:tc>
          <w:tcPr>
            <w:tcW w:w="3402" w:type="dxa"/>
            <w:tcBorders>
              <w:top w:val="single" w:sz="4" w:space="0" w:color="auto"/>
              <w:left w:val="single" w:sz="4" w:space="0" w:color="auto"/>
              <w:bottom w:val="single" w:sz="4" w:space="0" w:color="auto"/>
              <w:right w:val="single" w:sz="4" w:space="0" w:color="auto"/>
            </w:tcBorders>
            <w:vAlign w:val="center"/>
          </w:tcPr>
          <w:p w14:paraId="6BA295E6" w14:textId="77777777" w:rsidR="003D64B8" w:rsidRDefault="003D64B8" w:rsidP="0071240D">
            <w:r>
              <w:rPr>
                <w:rFonts w:ascii="Arial" w:hAnsi="Arial" w:cs="Arial"/>
                <w:b/>
                <w:bCs/>
                <w:sz w:val="22"/>
                <w:szCs w:val="22"/>
              </w:rPr>
              <w:t>Savoirs</w:t>
            </w:r>
          </w:p>
        </w:tc>
        <w:tc>
          <w:tcPr>
            <w:tcW w:w="3147" w:type="dxa"/>
            <w:tcBorders>
              <w:top w:val="single" w:sz="4" w:space="0" w:color="auto"/>
              <w:left w:val="single" w:sz="4" w:space="0" w:color="auto"/>
              <w:bottom w:val="single" w:sz="4" w:space="0" w:color="auto"/>
              <w:right w:val="single" w:sz="4" w:space="0" w:color="auto"/>
            </w:tcBorders>
            <w:vAlign w:val="center"/>
          </w:tcPr>
          <w:p w14:paraId="575D9443" w14:textId="77777777" w:rsidR="003D64B8" w:rsidRDefault="003D64B8" w:rsidP="0071240D">
            <w:r>
              <w:rPr>
                <w:rFonts w:ascii="Arial" w:hAnsi="Arial" w:cs="Arial"/>
                <w:b/>
                <w:bCs/>
                <w:sz w:val="22"/>
                <w:szCs w:val="22"/>
              </w:rPr>
              <w:t>Savoir-faire</w:t>
            </w:r>
          </w:p>
        </w:tc>
        <w:tc>
          <w:tcPr>
            <w:tcW w:w="2986" w:type="dxa"/>
            <w:shd w:val="clear" w:color="auto" w:fill="BDD6EE" w:themeFill="accent5" w:themeFillTint="66"/>
          </w:tcPr>
          <w:p w14:paraId="3C0DA3FC" w14:textId="77777777" w:rsidR="003D64B8" w:rsidRDefault="003D64B8" w:rsidP="0071240D">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470" w:type="dxa"/>
          </w:tcPr>
          <w:p w14:paraId="7258C59F" w14:textId="77777777" w:rsidR="003D64B8" w:rsidRDefault="003D64B8" w:rsidP="0071240D">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s</w:t>
            </w:r>
            <w:r w:rsidRPr="000C5D32">
              <w:rPr>
                <w:rFonts w:asciiTheme="minorHAnsi" w:hAnsiTheme="minorHAnsi" w:cstheme="minorHAnsi"/>
                <w:b/>
              </w:rPr>
              <w:t xml:space="preserve"> en première</w:t>
            </w:r>
          </w:p>
        </w:tc>
        <w:tc>
          <w:tcPr>
            <w:tcW w:w="2596" w:type="dxa"/>
          </w:tcPr>
          <w:p w14:paraId="52A2651D" w14:textId="77777777" w:rsidR="003D64B8" w:rsidRPr="007F4857" w:rsidRDefault="003D64B8" w:rsidP="0071240D">
            <w:pPr>
              <w:rPr>
                <w:rFonts w:asciiTheme="minorHAnsi" w:hAnsiTheme="minorHAnsi" w:cstheme="minorHAnsi"/>
                <w:b/>
              </w:rPr>
            </w:pPr>
            <w:r w:rsidRPr="007F4857">
              <w:rPr>
                <w:rFonts w:asciiTheme="minorHAnsi" w:hAnsiTheme="minorHAnsi" w:cstheme="minorHAnsi"/>
                <w:b/>
              </w:rPr>
              <w:t>Liens avec les programmes de spécialité</w:t>
            </w:r>
          </w:p>
        </w:tc>
      </w:tr>
      <w:tr w:rsidR="00EA09F2" w14:paraId="5A1EC8AB" w14:textId="77777777" w:rsidTr="00EA09F2">
        <w:tc>
          <w:tcPr>
            <w:tcW w:w="3402" w:type="dxa"/>
          </w:tcPr>
          <w:p w14:paraId="240816A5" w14:textId="77777777" w:rsidR="00EA09F2" w:rsidRPr="0025272F" w:rsidRDefault="00EA09F2" w:rsidP="00B82943">
            <w:pPr>
              <w:pStyle w:val="Default"/>
              <w:rPr>
                <w:sz w:val="22"/>
                <w:szCs w:val="22"/>
              </w:rPr>
            </w:pPr>
            <w:r w:rsidRPr="0025272F">
              <w:rPr>
                <w:sz w:val="22"/>
                <w:szCs w:val="22"/>
              </w:rPr>
              <w:t xml:space="preserve">Dès l’Antiquité, des observations de différentes natures ont permis de conclure que la Terre était sphérique, alors même que, localement, elle apparaît plane dans la </w:t>
            </w:r>
            <w:r w:rsidRPr="0025272F">
              <w:rPr>
                <w:sz w:val="22"/>
                <w:szCs w:val="22"/>
              </w:rPr>
              <w:lastRenderedPageBreak/>
              <w:t xml:space="preserve">plupart des expériences quotidiennes. </w:t>
            </w:r>
          </w:p>
          <w:p w14:paraId="1FB8E176" w14:textId="65596F16" w:rsidR="00EA09F2" w:rsidRPr="0025272F" w:rsidRDefault="00EA09F2" w:rsidP="00B82943">
            <w:pPr>
              <w:rPr>
                <w:rFonts w:ascii="Arial" w:hAnsi="Arial" w:cs="Arial"/>
              </w:rPr>
            </w:pPr>
            <w:r w:rsidRPr="0025272F">
              <w:rPr>
                <w:rFonts w:ascii="Arial" w:hAnsi="Arial" w:cs="Arial"/>
                <w:sz w:val="22"/>
                <w:szCs w:val="22"/>
              </w:rPr>
              <w:t xml:space="preserve">Historiquement, des méthodes géométriques ont permis de calculer la longueur d’un méridien (environ 40 000 km) à partir de mesures d’angles ou de longueurs : méthodes d’Ératosthène et de triangulation plane. </w:t>
            </w:r>
          </w:p>
        </w:tc>
        <w:tc>
          <w:tcPr>
            <w:tcW w:w="3147" w:type="dxa"/>
          </w:tcPr>
          <w:p w14:paraId="33079335" w14:textId="77777777" w:rsidR="00EA09F2" w:rsidRPr="0025272F" w:rsidRDefault="00EA09F2" w:rsidP="00B82943">
            <w:pPr>
              <w:pStyle w:val="Default"/>
              <w:rPr>
                <w:sz w:val="22"/>
                <w:szCs w:val="22"/>
              </w:rPr>
            </w:pPr>
            <w:r w:rsidRPr="0025272F">
              <w:rPr>
                <w:sz w:val="22"/>
                <w:szCs w:val="22"/>
              </w:rPr>
              <w:lastRenderedPageBreak/>
              <w:t xml:space="preserve">Calculer la longueur du méridien terrestre par la méthode d’Ératosthène. </w:t>
            </w:r>
          </w:p>
          <w:p w14:paraId="44A72787" w14:textId="77777777" w:rsidR="00EA09F2" w:rsidRPr="0025272F" w:rsidRDefault="00EA09F2" w:rsidP="00B82943">
            <w:pPr>
              <w:pStyle w:val="Default"/>
              <w:rPr>
                <w:sz w:val="22"/>
                <w:szCs w:val="22"/>
              </w:rPr>
            </w:pPr>
            <w:r w:rsidRPr="0025272F">
              <w:rPr>
                <w:sz w:val="22"/>
                <w:szCs w:val="22"/>
              </w:rPr>
              <w:t xml:space="preserve">Calculer une longueur par la méthode de triangulation </w:t>
            </w:r>
            <w:r w:rsidRPr="0025272F">
              <w:rPr>
                <w:sz w:val="22"/>
                <w:szCs w:val="22"/>
              </w:rPr>
              <w:lastRenderedPageBreak/>
              <w:t xml:space="preserve">utilisée par Delambre et Méchain. </w:t>
            </w:r>
          </w:p>
          <w:p w14:paraId="12AE36B9" w14:textId="5BA446A0" w:rsidR="00EA09F2" w:rsidRPr="0025272F" w:rsidRDefault="00EA09F2" w:rsidP="00B82943">
            <w:pPr>
              <w:rPr>
                <w:rFonts w:ascii="Arial" w:hAnsi="Arial" w:cs="Arial"/>
              </w:rPr>
            </w:pPr>
            <w:r w:rsidRPr="0025272F">
              <w:rPr>
                <w:rFonts w:ascii="Arial" w:hAnsi="Arial" w:cs="Arial"/>
                <w:sz w:val="22"/>
                <w:szCs w:val="22"/>
              </w:rPr>
              <w:t xml:space="preserve">Calculer le rayon de la Terre à partir de la longueur du méridien. </w:t>
            </w:r>
          </w:p>
        </w:tc>
        <w:tc>
          <w:tcPr>
            <w:tcW w:w="2986" w:type="dxa"/>
            <w:vMerge w:val="restart"/>
            <w:shd w:val="clear" w:color="auto" w:fill="BDD6EE" w:themeFill="accent5" w:themeFillTint="66"/>
          </w:tcPr>
          <w:p w14:paraId="47FEBD0B" w14:textId="7FFD49F9" w:rsidR="00EA09F2" w:rsidRDefault="78E7FC1E" w:rsidP="78E7FC1E">
            <w:pPr>
              <w:rPr>
                <w:b/>
                <w:bCs/>
              </w:rPr>
            </w:pPr>
            <w:r w:rsidRPr="78E7FC1E">
              <w:rPr>
                <w:rFonts w:ascii="Cambria" w:eastAsia="Cambria" w:hAnsi="Cambria" w:cs="Cambria"/>
                <w:b/>
                <w:bCs/>
              </w:rPr>
              <w:lastRenderedPageBreak/>
              <w:t xml:space="preserve">Mathématiques : </w:t>
            </w:r>
          </w:p>
          <w:p w14:paraId="5FA72B55" w14:textId="7F63F917" w:rsidR="00EA09F2" w:rsidRDefault="78E7FC1E" w:rsidP="78E7FC1E">
            <w:r w:rsidRPr="78E7FC1E">
              <w:rPr>
                <w:rFonts w:ascii="Cambria" w:eastAsia="Cambria" w:hAnsi="Cambria" w:cs="Cambria"/>
              </w:rPr>
              <w:t>Proportionnalité</w:t>
            </w:r>
          </w:p>
          <w:p w14:paraId="00F7A483" w14:textId="1D2EF1FA" w:rsidR="00EA09F2" w:rsidRDefault="78E7FC1E" w:rsidP="78E7FC1E">
            <w:r w:rsidRPr="78E7FC1E">
              <w:rPr>
                <w:rFonts w:ascii="Cambria" w:eastAsia="Cambria" w:hAnsi="Cambria" w:cs="Cambria"/>
              </w:rPr>
              <w:t xml:space="preserve"> Géométrie dans le plan et dans l’espace (cycle 4) : intersection, repérage, </w:t>
            </w:r>
            <w:r w:rsidRPr="78E7FC1E">
              <w:rPr>
                <w:rFonts w:ascii="Cambria" w:eastAsia="Cambria" w:hAnsi="Cambria" w:cs="Cambria"/>
              </w:rPr>
              <w:lastRenderedPageBreak/>
              <w:t xml:space="preserve">section plane,                </w:t>
            </w:r>
          </w:p>
          <w:p w14:paraId="4976719A" w14:textId="02E7A210" w:rsidR="00EA09F2" w:rsidRDefault="78E7FC1E" w:rsidP="78E7FC1E">
            <w:pPr>
              <w:rPr>
                <w:rFonts w:ascii="Cambria" w:eastAsia="Cambria" w:hAnsi="Cambria" w:cs="Cambria"/>
              </w:rPr>
            </w:pPr>
            <w:r w:rsidRPr="78E7FC1E">
              <w:rPr>
                <w:rFonts w:ascii="Cambria" w:eastAsia="Cambria" w:hAnsi="Cambria" w:cs="Cambria"/>
              </w:rPr>
              <w:t>Angles et trigonométrie.</w:t>
            </w:r>
          </w:p>
          <w:p w14:paraId="40761C4B" w14:textId="0DE08D6E" w:rsidR="00EA09F2" w:rsidRDefault="00EA09F2" w:rsidP="00B82943">
            <w:pPr>
              <w:rPr>
                <w:rFonts w:ascii="Cambria" w:eastAsia="Cambria" w:hAnsi="Cambria" w:cs="Cambria"/>
                <w:b/>
              </w:rPr>
            </w:pPr>
          </w:p>
        </w:tc>
        <w:tc>
          <w:tcPr>
            <w:tcW w:w="2470" w:type="dxa"/>
            <w:vMerge w:val="restart"/>
          </w:tcPr>
          <w:p w14:paraId="1D2EAC20" w14:textId="0ACDBBBF" w:rsidR="00EA09F2" w:rsidRDefault="78E7FC1E" w:rsidP="00B82943">
            <w:r w:rsidRPr="78E7FC1E">
              <w:rPr>
                <w:rFonts w:ascii="Cambria" w:eastAsia="Cambria" w:hAnsi="Cambria" w:cs="Cambria"/>
                <w:b/>
                <w:bCs/>
              </w:rPr>
              <w:lastRenderedPageBreak/>
              <w:t>Mathématiques :</w:t>
            </w:r>
          </w:p>
          <w:p w14:paraId="477FF81D" w14:textId="0D7AE9DE" w:rsidR="00EA09F2" w:rsidRDefault="78E7FC1E" w:rsidP="78E7FC1E">
            <w:r w:rsidRPr="78E7FC1E">
              <w:rPr>
                <w:rFonts w:ascii="Cambria" w:eastAsia="Cambria" w:hAnsi="Cambria" w:cs="Cambria"/>
              </w:rPr>
              <w:t xml:space="preserve">L’utilisation de la loi des sinus (qu’il ne s’ait pas de démontrer aux </w:t>
            </w:r>
            <w:r w:rsidRPr="78E7FC1E">
              <w:rPr>
                <w:rFonts w:ascii="Cambria" w:eastAsia="Cambria" w:hAnsi="Cambria" w:cs="Cambria"/>
              </w:rPr>
              <w:lastRenderedPageBreak/>
              <w:t xml:space="preserve">élèves) : </w:t>
            </w:r>
            <w:r w:rsidR="00EA09F2">
              <w:rPr>
                <w:noProof/>
              </w:rPr>
              <w:drawing>
                <wp:inline distT="0" distB="0" distL="0" distR="0" wp14:anchorId="541ED753" wp14:editId="058AED26">
                  <wp:extent cx="342900" cy="342900"/>
                  <wp:effectExtent l="0" t="0" r="0" b="0"/>
                  <wp:docPr id="296921401" name="Image 296921401" descr="F,{b7fdf555-2e2c-4231-a922-e92a893ed921}{20},3.208333,0.7083333" title="Le téléchargement de l’image a échou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14:paraId="0E282EDC" w14:textId="6748F16C" w:rsidR="00EA09F2" w:rsidRDefault="00EA09F2" w:rsidP="00B82943">
            <w:pPr>
              <w:rPr>
                <w:rFonts w:ascii="Cambria" w:eastAsia="Cambria" w:hAnsi="Cambria" w:cs="Cambria"/>
              </w:rPr>
            </w:pPr>
          </w:p>
        </w:tc>
        <w:tc>
          <w:tcPr>
            <w:tcW w:w="2596" w:type="dxa"/>
            <w:vMerge w:val="restart"/>
          </w:tcPr>
          <w:p w14:paraId="78B4A649" w14:textId="54687F3D" w:rsidR="00EA09F2" w:rsidRDefault="78E7FC1E" w:rsidP="78E7FC1E">
            <w:pPr>
              <w:rPr>
                <w:rFonts w:ascii="Cambria" w:eastAsia="Cambria" w:hAnsi="Cambria" w:cs="Cambria"/>
                <w:b/>
                <w:bCs/>
              </w:rPr>
            </w:pPr>
            <w:r w:rsidRPr="78E7FC1E">
              <w:rPr>
                <w:rFonts w:ascii="Cambria" w:eastAsia="Cambria" w:hAnsi="Cambria" w:cs="Cambria"/>
                <w:b/>
                <w:bCs/>
              </w:rPr>
              <w:lastRenderedPageBreak/>
              <w:t>Mathématiques :</w:t>
            </w:r>
          </w:p>
          <w:p w14:paraId="038571E6" w14:textId="64D12304" w:rsidR="00EA09F2" w:rsidRDefault="78E7FC1E" w:rsidP="78E7FC1E">
            <w:pPr>
              <w:rPr>
                <w:rFonts w:ascii="Cambria" w:eastAsia="Cambria" w:hAnsi="Cambria" w:cs="Cambria"/>
              </w:rPr>
            </w:pPr>
            <w:r w:rsidRPr="78E7FC1E">
              <w:rPr>
                <w:rFonts w:ascii="Cambria" w:eastAsia="Cambria" w:hAnsi="Cambria" w:cs="Cambria"/>
              </w:rPr>
              <w:t>Formule d’</w:t>
            </w:r>
            <w:proofErr w:type="spellStart"/>
            <w:r w:rsidRPr="78E7FC1E">
              <w:rPr>
                <w:rFonts w:ascii="Cambria" w:eastAsia="Cambria" w:hAnsi="Cambria" w:cs="Cambria"/>
              </w:rPr>
              <w:t>Al-Kashi</w:t>
            </w:r>
            <w:proofErr w:type="spellEnd"/>
            <w:r w:rsidRPr="78E7FC1E">
              <w:rPr>
                <w:rFonts w:ascii="Cambria" w:eastAsia="Cambria" w:hAnsi="Cambria" w:cs="Cambria"/>
              </w:rPr>
              <w:t xml:space="preserve"> et démonstration de la loi des sinus.</w:t>
            </w:r>
          </w:p>
          <w:p w14:paraId="369A5795" w14:textId="5794ED7B" w:rsidR="00EA09F2" w:rsidRDefault="00EA09F2" w:rsidP="00B82943">
            <w:pPr>
              <w:rPr>
                <w:b/>
              </w:rPr>
            </w:pPr>
          </w:p>
        </w:tc>
      </w:tr>
      <w:tr w:rsidR="00EA09F2" w14:paraId="7BB283DD" w14:textId="77777777" w:rsidTr="00EA09F2">
        <w:tc>
          <w:tcPr>
            <w:tcW w:w="3402" w:type="dxa"/>
          </w:tcPr>
          <w:p w14:paraId="48364722" w14:textId="77777777" w:rsidR="00EA09F2" w:rsidRPr="0025272F" w:rsidRDefault="00EA09F2" w:rsidP="00B82943">
            <w:pPr>
              <w:pStyle w:val="Default"/>
              <w:rPr>
                <w:sz w:val="22"/>
                <w:szCs w:val="22"/>
              </w:rPr>
            </w:pPr>
            <w:r w:rsidRPr="0025272F">
              <w:rPr>
                <w:sz w:val="22"/>
                <w:szCs w:val="22"/>
              </w:rPr>
              <w:t xml:space="preserve">On repère un point à la surface de la Terre par deux coordonnées angulaires, sa latitude et sa longitude. </w:t>
            </w:r>
          </w:p>
          <w:p w14:paraId="56CECBB1" w14:textId="6553C97A" w:rsidR="00EA09F2" w:rsidRPr="0025272F" w:rsidRDefault="00EA09F2" w:rsidP="00B82943">
            <w:pPr>
              <w:rPr>
                <w:rFonts w:ascii="Arial" w:hAnsi="Arial" w:cs="Arial"/>
              </w:rPr>
            </w:pPr>
            <w:r w:rsidRPr="0025272F">
              <w:rPr>
                <w:rFonts w:ascii="Arial" w:hAnsi="Arial" w:cs="Arial"/>
                <w:sz w:val="22"/>
                <w:szCs w:val="22"/>
              </w:rPr>
              <w:t xml:space="preserve">Le plus court chemin entre deux points à la surface de la Terre est l’arc du grand cercle qui les relie. </w:t>
            </w:r>
          </w:p>
        </w:tc>
        <w:tc>
          <w:tcPr>
            <w:tcW w:w="3147" w:type="dxa"/>
          </w:tcPr>
          <w:p w14:paraId="5A653D43" w14:textId="77777777" w:rsidR="00EA09F2" w:rsidRPr="0025272F" w:rsidRDefault="00EA09F2" w:rsidP="00B82943">
            <w:pPr>
              <w:pStyle w:val="Default"/>
              <w:rPr>
                <w:sz w:val="22"/>
                <w:szCs w:val="22"/>
              </w:rPr>
            </w:pPr>
            <w:r w:rsidRPr="0025272F">
              <w:rPr>
                <w:sz w:val="22"/>
                <w:szCs w:val="22"/>
              </w:rPr>
              <w:t xml:space="preserve">Calculer la longueur d’un arc de méridien et d’un arc de parallèle. </w:t>
            </w:r>
          </w:p>
          <w:p w14:paraId="566916F9" w14:textId="78EC1B69" w:rsidR="00EA09F2" w:rsidRPr="0025272F" w:rsidRDefault="00EA09F2" w:rsidP="00B82943">
            <w:pPr>
              <w:rPr>
                <w:rFonts w:ascii="Arial" w:hAnsi="Arial" w:cs="Arial"/>
              </w:rPr>
            </w:pPr>
            <w:r w:rsidRPr="0025272F">
              <w:rPr>
                <w:rFonts w:ascii="Arial" w:hAnsi="Arial" w:cs="Arial"/>
                <w:sz w:val="22"/>
                <w:szCs w:val="22"/>
              </w:rPr>
              <w:t xml:space="preserve">Comparer, à l’aide d’un système d’information géographique, les longueurs de différents chemins reliant deux points à la surface de la Terre. </w:t>
            </w:r>
          </w:p>
        </w:tc>
        <w:tc>
          <w:tcPr>
            <w:tcW w:w="2986" w:type="dxa"/>
            <w:vMerge/>
            <w:shd w:val="clear" w:color="auto" w:fill="BDD6EE" w:themeFill="accent5" w:themeFillTint="66"/>
          </w:tcPr>
          <w:p w14:paraId="18A327D9" w14:textId="77777777" w:rsidR="00EA09F2" w:rsidRDefault="00EA09F2" w:rsidP="00B82943"/>
        </w:tc>
        <w:tc>
          <w:tcPr>
            <w:tcW w:w="2470" w:type="dxa"/>
            <w:vMerge/>
          </w:tcPr>
          <w:p w14:paraId="463C7E0F" w14:textId="77777777" w:rsidR="00EA09F2" w:rsidRDefault="00EA09F2" w:rsidP="00B82943"/>
        </w:tc>
        <w:tc>
          <w:tcPr>
            <w:tcW w:w="2596" w:type="dxa"/>
            <w:vMerge/>
          </w:tcPr>
          <w:p w14:paraId="19BCD134" w14:textId="77777777" w:rsidR="00EA09F2" w:rsidRDefault="00EA09F2" w:rsidP="00B82943"/>
        </w:tc>
      </w:tr>
      <w:tr w:rsidR="0025272F" w14:paraId="25742E4E" w14:textId="77777777" w:rsidTr="00C722CD">
        <w:trPr>
          <w:trHeight w:val="1577"/>
        </w:trPr>
        <w:tc>
          <w:tcPr>
            <w:tcW w:w="14601" w:type="dxa"/>
            <w:gridSpan w:val="5"/>
          </w:tcPr>
          <w:tbl>
            <w:tblPr>
              <w:tblW w:w="0" w:type="auto"/>
              <w:tblBorders>
                <w:top w:val="nil"/>
                <w:left w:val="nil"/>
                <w:bottom w:val="nil"/>
                <w:right w:val="nil"/>
              </w:tblBorders>
              <w:tblLook w:val="0000" w:firstRow="0" w:lastRow="0" w:firstColumn="0" w:lastColumn="0" w:noHBand="0" w:noVBand="0"/>
            </w:tblPr>
            <w:tblGrid>
              <w:gridCol w:w="14385"/>
            </w:tblGrid>
            <w:tr w:rsidR="0025272F" w:rsidRPr="0025272F" w14:paraId="71985EF3" w14:textId="77777777">
              <w:trPr>
                <w:trHeight w:val="1059"/>
              </w:trPr>
              <w:tc>
                <w:tcPr>
                  <w:tcW w:w="0" w:type="auto"/>
                </w:tcPr>
                <w:p w14:paraId="3028B1B0" w14:textId="77777777" w:rsidR="0025272F" w:rsidRP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b/>
                      <w:bCs/>
                      <w:color w:val="000000"/>
                      <w:sz w:val="22"/>
                      <w:szCs w:val="22"/>
                      <w:lang w:eastAsia="en-US"/>
                    </w:rPr>
                    <w:t xml:space="preserve">Prérequis et limites </w:t>
                  </w:r>
                </w:p>
                <w:p w14:paraId="24357206" w14:textId="4D8BB636" w:rsidR="0025272F" w:rsidRP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b/>
                      <w:color w:val="002060"/>
                      <w:sz w:val="22"/>
                      <w:szCs w:val="22"/>
                      <w:lang w:eastAsia="en-US"/>
                    </w:rPr>
                    <w:t>La connaissance de la loi des sinus n’est pas exigible</w:t>
                  </w:r>
                  <w:r w:rsidRPr="0025272F">
                    <w:rPr>
                      <w:rFonts w:ascii="Arial" w:eastAsiaTheme="minorHAnsi" w:hAnsi="Arial" w:cs="Arial"/>
                      <w:color w:val="000000"/>
                      <w:sz w:val="22"/>
                      <w:szCs w:val="22"/>
                      <w:lang w:eastAsia="en-US"/>
                    </w:rPr>
                    <w:t xml:space="preserve">. Elle est fournie pour mettre en </w:t>
                  </w:r>
                  <w:r w:rsidR="00FE2C9B" w:rsidRPr="0025272F">
                    <w:rPr>
                      <w:rFonts w:ascii="Arial" w:eastAsiaTheme="minorHAnsi" w:hAnsi="Arial" w:cs="Arial"/>
                      <w:color w:val="000000"/>
                      <w:sz w:val="22"/>
                      <w:szCs w:val="22"/>
                      <w:lang w:eastAsia="en-US"/>
                    </w:rPr>
                    <w:t>œuvre</w:t>
                  </w:r>
                  <w:r w:rsidRPr="0025272F">
                    <w:rPr>
                      <w:rFonts w:ascii="Arial" w:eastAsiaTheme="minorHAnsi" w:hAnsi="Arial" w:cs="Arial"/>
                      <w:color w:val="000000"/>
                      <w:sz w:val="22"/>
                      <w:szCs w:val="22"/>
                      <w:lang w:eastAsia="en-US"/>
                    </w:rPr>
                    <w:t xml:space="preserve"> le principe de triangulation plane (calcul d’une longueur à partir de la mesure d’une autre longueur et de deux angles). </w:t>
                  </w:r>
                </w:p>
                <w:p w14:paraId="316415CA" w14:textId="77777777" w:rsidR="0025272F" w:rsidRP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color w:val="000000"/>
                      <w:sz w:val="22"/>
                      <w:szCs w:val="22"/>
                      <w:lang w:eastAsia="en-US"/>
                    </w:rPr>
                    <w:t xml:space="preserve">On admet que la longueur d’un arc de cercle est proportionnelle à l’angle qui l’intercepte. </w:t>
                  </w:r>
                </w:p>
                <w:p w14:paraId="67A4B667" w14:textId="77777777" w:rsidR="0025272F" w:rsidRP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color w:val="000000"/>
                      <w:sz w:val="22"/>
                      <w:szCs w:val="22"/>
                      <w:lang w:eastAsia="en-US"/>
                    </w:rPr>
                    <w:t xml:space="preserve">Le repérage sur une sphère, déjà connu des élèves, est remobilisé. </w:t>
                  </w:r>
                </w:p>
                <w:p w14:paraId="34F68D52" w14:textId="5ABD383A" w:rsidR="0025272F" w:rsidRP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color w:val="000000"/>
                      <w:sz w:val="22"/>
                      <w:szCs w:val="22"/>
                      <w:lang w:eastAsia="en-US"/>
                    </w:rPr>
                    <w:t xml:space="preserve">Le calcul de la longueur entre deux points le long d’un grand cercle n’est pas exigible. </w:t>
                  </w:r>
                </w:p>
              </w:tc>
            </w:tr>
          </w:tbl>
          <w:p w14:paraId="3E3229A3" w14:textId="77777777" w:rsidR="0025272F" w:rsidRDefault="0025272F" w:rsidP="0071240D"/>
        </w:tc>
      </w:tr>
      <w:tr w:rsidR="0025272F" w14:paraId="68B1BD9F" w14:textId="77777777" w:rsidTr="00C722CD">
        <w:tc>
          <w:tcPr>
            <w:tcW w:w="14601" w:type="dxa"/>
            <w:gridSpan w:val="5"/>
          </w:tcPr>
          <w:p w14:paraId="4DCD08A3" w14:textId="1A9F4D3F" w:rsidR="0025272F" w:rsidRDefault="0025272F" w:rsidP="0025272F">
            <w:pPr>
              <w:spacing w:before="72"/>
              <w:ind w:left="34"/>
              <w:rPr>
                <w:rFonts w:ascii="Arial" w:hAnsi="Arial" w:cs="Arial"/>
                <w:b/>
                <w:bCs/>
                <w:color w:val="17818E"/>
                <w:spacing w:val="-4"/>
                <w:w w:val="105"/>
                <w:sz w:val="22"/>
                <w:szCs w:val="22"/>
              </w:rPr>
            </w:pPr>
            <w:bookmarkStart w:id="6" w:name="_Hlk6935043"/>
            <w:r>
              <w:rPr>
                <w:rFonts w:ascii="Arial" w:hAnsi="Arial" w:cs="Arial"/>
                <w:b/>
                <w:bCs/>
                <w:color w:val="17818E"/>
                <w:spacing w:val="-4"/>
                <w:w w:val="105"/>
                <w:sz w:val="22"/>
                <w:szCs w:val="22"/>
              </w:rPr>
              <w:t>3.2 – L’histoire de l’âge de la Terre</w:t>
            </w:r>
          </w:p>
          <w:tbl>
            <w:tblPr>
              <w:tblW w:w="0" w:type="auto"/>
              <w:tblBorders>
                <w:top w:val="nil"/>
                <w:left w:val="nil"/>
                <w:bottom w:val="nil"/>
                <w:right w:val="nil"/>
              </w:tblBorders>
              <w:tblLook w:val="0000" w:firstRow="0" w:lastRow="0" w:firstColumn="0" w:lastColumn="0" w:noHBand="0" w:noVBand="0"/>
            </w:tblPr>
            <w:tblGrid>
              <w:gridCol w:w="14385"/>
            </w:tblGrid>
            <w:tr w:rsidR="0025272F" w:rsidRPr="0025272F" w14:paraId="40EC0017" w14:textId="77777777">
              <w:trPr>
                <w:trHeight w:val="229"/>
              </w:trPr>
              <w:tc>
                <w:tcPr>
                  <w:tcW w:w="0" w:type="auto"/>
                </w:tcPr>
                <w:p w14:paraId="045B62DA" w14:textId="77777777" w:rsidR="0025272F" w:rsidRP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color w:val="000000"/>
                      <w:sz w:val="22"/>
                      <w:szCs w:val="22"/>
                      <w:lang w:eastAsia="en-US"/>
                    </w:rPr>
                    <w:t xml:space="preserve">L’âge de la Terre est d’un ordre de grandeur sans rapport avec la vie humaine. Sa compréhension progressive met en </w:t>
                  </w:r>
                  <w:proofErr w:type="spellStart"/>
                  <w:r w:rsidRPr="0025272F">
                    <w:rPr>
                      <w:rFonts w:ascii="Arial" w:eastAsiaTheme="minorHAnsi" w:hAnsi="Arial" w:cs="Arial"/>
                      <w:color w:val="000000"/>
                      <w:sz w:val="22"/>
                      <w:szCs w:val="22"/>
                      <w:lang w:eastAsia="en-US"/>
                    </w:rPr>
                    <w:t>oeuvre</w:t>
                  </w:r>
                  <w:proofErr w:type="spellEnd"/>
                  <w:r w:rsidRPr="0025272F">
                    <w:rPr>
                      <w:rFonts w:ascii="Arial" w:eastAsiaTheme="minorHAnsi" w:hAnsi="Arial" w:cs="Arial"/>
                      <w:color w:val="000000"/>
                      <w:sz w:val="22"/>
                      <w:szCs w:val="22"/>
                      <w:lang w:eastAsia="en-US"/>
                    </w:rPr>
                    <w:t xml:space="preserve"> des arguments variés. </w:t>
                  </w:r>
                </w:p>
              </w:tc>
            </w:tr>
          </w:tbl>
          <w:p w14:paraId="298B8673" w14:textId="77777777" w:rsidR="0025272F" w:rsidRDefault="0025272F" w:rsidP="0071240D"/>
        </w:tc>
      </w:tr>
      <w:tr w:rsidR="00803F6A" w14:paraId="175BF3D9" w14:textId="77777777" w:rsidTr="00EA09F2">
        <w:tc>
          <w:tcPr>
            <w:tcW w:w="3402" w:type="dxa"/>
            <w:vAlign w:val="center"/>
          </w:tcPr>
          <w:p w14:paraId="66B97651" w14:textId="4E6FA114" w:rsidR="0025272F" w:rsidRDefault="0025272F" w:rsidP="0025272F">
            <w:r>
              <w:rPr>
                <w:rFonts w:ascii="Arial" w:hAnsi="Arial" w:cs="Arial"/>
                <w:b/>
                <w:bCs/>
                <w:sz w:val="22"/>
                <w:szCs w:val="22"/>
              </w:rPr>
              <w:t>Savoirs</w:t>
            </w:r>
          </w:p>
        </w:tc>
        <w:tc>
          <w:tcPr>
            <w:tcW w:w="3147" w:type="dxa"/>
            <w:vAlign w:val="center"/>
          </w:tcPr>
          <w:p w14:paraId="73FCF184" w14:textId="2B834BC4" w:rsidR="0025272F" w:rsidRDefault="0025272F" w:rsidP="0025272F">
            <w:r>
              <w:rPr>
                <w:rFonts w:ascii="Arial" w:hAnsi="Arial" w:cs="Arial"/>
                <w:b/>
                <w:bCs/>
                <w:sz w:val="22"/>
                <w:szCs w:val="22"/>
              </w:rPr>
              <w:t>Savoir-faire</w:t>
            </w:r>
          </w:p>
        </w:tc>
        <w:tc>
          <w:tcPr>
            <w:tcW w:w="2986" w:type="dxa"/>
            <w:shd w:val="clear" w:color="auto" w:fill="BDD6EE" w:themeFill="accent5" w:themeFillTint="66"/>
          </w:tcPr>
          <w:p w14:paraId="49CA4AF7" w14:textId="66FE6D53" w:rsidR="0025272F" w:rsidRDefault="0025272F" w:rsidP="0025272F">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470" w:type="dxa"/>
          </w:tcPr>
          <w:p w14:paraId="70AAC2DD" w14:textId="49B50229" w:rsidR="0025272F" w:rsidRDefault="0025272F" w:rsidP="0025272F">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s</w:t>
            </w:r>
            <w:r w:rsidRPr="000C5D32">
              <w:rPr>
                <w:rFonts w:asciiTheme="minorHAnsi" w:hAnsiTheme="minorHAnsi" w:cstheme="minorHAnsi"/>
                <w:b/>
              </w:rPr>
              <w:t xml:space="preserve"> en première</w:t>
            </w:r>
          </w:p>
        </w:tc>
        <w:tc>
          <w:tcPr>
            <w:tcW w:w="2596" w:type="dxa"/>
          </w:tcPr>
          <w:p w14:paraId="62029005" w14:textId="4020C625" w:rsidR="0025272F" w:rsidRDefault="0025272F" w:rsidP="0025272F">
            <w:r w:rsidRPr="007F4857">
              <w:rPr>
                <w:rFonts w:asciiTheme="minorHAnsi" w:hAnsiTheme="minorHAnsi" w:cstheme="minorHAnsi"/>
                <w:b/>
              </w:rPr>
              <w:t>Liens avec les programmes de spécialité</w:t>
            </w:r>
          </w:p>
        </w:tc>
      </w:tr>
      <w:bookmarkEnd w:id="6"/>
      <w:tr w:rsidR="00803F6A" w14:paraId="477320F6" w14:textId="77777777" w:rsidTr="00EA09F2">
        <w:tc>
          <w:tcPr>
            <w:tcW w:w="3402" w:type="dxa"/>
          </w:tcPr>
          <w:p w14:paraId="251ECE77" w14:textId="77777777" w:rsidR="0025272F" w:rsidRPr="0025272F" w:rsidRDefault="0025272F" w:rsidP="0025272F">
            <w:pPr>
              <w:pStyle w:val="Default"/>
              <w:rPr>
                <w:sz w:val="22"/>
                <w:szCs w:val="22"/>
              </w:rPr>
            </w:pPr>
            <w:r w:rsidRPr="0025272F">
              <w:rPr>
                <w:sz w:val="22"/>
                <w:szCs w:val="22"/>
              </w:rPr>
              <w:t xml:space="preserve">Au cours de l’histoire des sciences, plusieurs arguments ont été utilisés pour aboutir à la </w:t>
            </w:r>
            <w:r w:rsidRPr="0025272F">
              <w:rPr>
                <w:sz w:val="22"/>
                <w:szCs w:val="22"/>
              </w:rPr>
              <w:lastRenderedPageBreak/>
              <w:t xml:space="preserve">connaissance actuelle de l’âge de la Terre : temps de refroidissement, empilements sédimentaires, évolution biologique, radioactivité. </w:t>
            </w:r>
          </w:p>
          <w:p w14:paraId="48F36ECF" w14:textId="29E36766" w:rsidR="0025272F" w:rsidRPr="0025272F" w:rsidRDefault="0025272F" w:rsidP="0025272F">
            <w:pPr>
              <w:rPr>
                <w:rFonts w:ascii="Arial" w:hAnsi="Arial" w:cs="Arial"/>
                <w:sz w:val="22"/>
                <w:szCs w:val="22"/>
              </w:rPr>
            </w:pPr>
            <w:r w:rsidRPr="0025272F">
              <w:rPr>
                <w:rFonts w:ascii="Arial" w:hAnsi="Arial" w:cs="Arial"/>
                <w:sz w:val="22"/>
                <w:szCs w:val="22"/>
              </w:rPr>
              <w:t xml:space="preserve">L’âge de la Terre aujourd’hui précisément déterminé est de 4,57.109 ans. </w:t>
            </w:r>
          </w:p>
        </w:tc>
        <w:tc>
          <w:tcPr>
            <w:tcW w:w="3147" w:type="dxa"/>
          </w:tcPr>
          <w:p w14:paraId="1402886D" w14:textId="77777777" w:rsidR="0025272F" w:rsidRPr="0025272F" w:rsidRDefault="0025272F" w:rsidP="0025272F">
            <w:pPr>
              <w:pStyle w:val="Default"/>
              <w:rPr>
                <w:sz w:val="22"/>
                <w:szCs w:val="22"/>
              </w:rPr>
            </w:pPr>
            <w:r w:rsidRPr="0025272F">
              <w:rPr>
                <w:sz w:val="22"/>
                <w:szCs w:val="22"/>
              </w:rPr>
              <w:lastRenderedPageBreak/>
              <w:t xml:space="preserve">Interpréter des documents présentant des arguments </w:t>
            </w:r>
            <w:r w:rsidRPr="0025272F">
              <w:rPr>
                <w:sz w:val="22"/>
                <w:szCs w:val="22"/>
              </w:rPr>
              <w:lastRenderedPageBreak/>
              <w:t xml:space="preserve">historiques utilisés pour comprendre l’âge de la Terre. </w:t>
            </w:r>
          </w:p>
          <w:p w14:paraId="3DEECD8C" w14:textId="4038854E" w:rsidR="0025272F" w:rsidRPr="0025272F" w:rsidRDefault="0025272F" w:rsidP="0025272F">
            <w:pPr>
              <w:rPr>
                <w:rFonts w:ascii="Arial" w:hAnsi="Arial" w:cs="Arial"/>
                <w:sz w:val="22"/>
                <w:szCs w:val="22"/>
              </w:rPr>
            </w:pPr>
            <w:r w:rsidRPr="0025272F">
              <w:rPr>
                <w:rFonts w:ascii="Arial" w:hAnsi="Arial" w:cs="Arial"/>
                <w:sz w:val="22"/>
                <w:szCs w:val="22"/>
              </w:rPr>
              <w:t xml:space="preserve">Identifier diverses théories impliquées dans la controverse scientifique de l’âge de la Terre </w:t>
            </w:r>
          </w:p>
        </w:tc>
        <w:tc>
          <w:tcPr>
            <w:tcW w:w="2986" w:type="dxa"/>
            <w:shd w:val="clear" w:color="auto" w:fill="BDD6EE" w:themeFill="accent5" w:themeFillTint="66"/>
          </w:tcPr>
          <w:p w14:paraId="0D503F3E" w14:textId="77777777" w:rsidR="0025272F" w:rsidRDefault="0025272F" w:rsidP="0025272F"/>
        </w:tc>
        <w:tc>
          <w:tcPr>
            <w:tcW w:w="2470" w:type="dxa"/>
          </w:tcPr>
          <w:p w14:paraId="5A96D6A8" w14:textId="77777777" w:rsidR="0025272F" w:rsidRDefault="0025272F" w:rsidP="0025272F"/>
        </w:tc>
        <w:tc>
          <w:tcPr>
            <w:tcW w:w="2596" w:type="dxa"/>
          </w:tcPr>
          <w:p w14:paraId="67B5E084" w14:textId="77777777" w:rsidR="0025272F" w:rsidRDefault="0025272F" w:rsidP="0025272F"/>
        </w:tc>
      </w:tr>
      <w:tr w:rsidR="0025272F" w14:paraId="248EEDFF" w14:textId="77777777" w:rsidTr="00C722CD">
        <w:tc>
          <w:tcPr>
            <w:tcW w:w="14601" w:type="dxa"/>
            <w:gridSpan w:val="5"/>
          </w:tcPr>
          <w:tbl>
            <w:tblPr>
              <w:tblW w:w="0" w:type="auto"/>
              <w:tblBorders>
                <w:top w:val="nil"/>
                <w:left w:val="nil"/>
                <w:bottom w:val="nil"/>
                <w:right w:val="nil"/>
              </w:tblBorders>
              <w:tblLook w:val="0000" w:firstRow="0" w:lastRow="0" w:firstColumn="0" w:lastColumn="0" w:noHBand="0" w:noVBand="0"/>
            </w:tblPr>
            <w:tblGrid>
              <w:gridCol w:w="14385"/>
            </w:tblGrid>
            <w:tr w:rsidR="0025272F" w:rsidRPr="0025272F" w14:paraId="3A69A2A0" w14:textId="77777777">
              <w:trPr>
                <w:trHeight w:val="895"/>
              </w:trPr>
              <w:tc>
                <w:tcPr>
                  <w:tcW w:w="0" w:type="auto"/>
                </w:tcPr>
                <w:p w14:paraId="7C4C9C25" w14:textId="77777777" w:rsidR="0025272F" w:rsidRP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b/>
                      <w:bCs/>
                      <w:color w:val="000000"/>
                      <w:sz w:val="22"/>
                      <w:szCs w:val="22"/>
                      <w:lang w:eastAsia="en-US"/>
                    </w:rPr>
                    <w:t xml:space="preserve">Prérequis et limites </w:t>
                  </w:r>
                </w:p>
                <w:p w14:paraId="5C931FE3" w14:textId="77777777" w:rsidR="0025272F" w:rsidRDefault="0025272F" w:rsidP="0025272F">
                  <w:pPr>
                    <w:widowControl/>
                    <w:kinsoku/>
                    <w:autoSpaceDE w:val="0"/>
                    <w:autoSpaceDN w:val="0"/>
                    <w:adjustRightInd w:val="0"/>
                    <w:rPr>
                      <w:rFonts w:ascii="Arial" w:eastAsiaTheme="minorHAnsi" w:hAnsi="Arial" w:cs="Arial"/>
                      <w:color w:val="000000"/>
                      <w:sz w:val="22"/>
                      <w:szCs w:val="22"/>
                      <w:lang w:eastAsia="en-US"/>
                    </w:rPr>
                  </w:pPr>
                  <w:r w:rsidRPr="0025272F">
                    <w:rPr>
                      <w:rFonts w:ascii="Arial" w:eastAsiaTheme="minorHAnsi" w:hAnsi="Arial" w:cs="Arial"/>
                      <w:color w:val="000000"/>
                      <w:sz w:val="22"/>
                      <w:szCs w:val="22"/>
                      <w:lang w:eastAsia="en-US"/>
                    </w:rPr>
                    <w:t xml:space="preserve">L’objectif n’est pas de connaître dans le détail les arguments utilisés au cours de l’histoire des sciences, mais de savoir interpréter des données relatives à ces arguments. Il s’agit de prendre appui sur cet exemple pour montrer comment la science construit et perfectionne peu à peu sa compréhension de la nature, en exploitant des faits nouveaux apparus successivement. Il s’agit aussi de montrer qu’une question scientifique complexe est résolue grâce à la participation de plusieurs domaines de spécialité. </w:t>
                  </w:r>
                </w:p>
                <w:p w14:paraId="5E1D8325" w14:textId="77777777" w:rsidR="00EA09F2" w:rsidRDefault="00EA09F2" w:rsidP="0025272F">
                  <w:pPr>
                    <w:widowControl/>
                    <w:kinsoku/>
                    <w:autoSpaceDE w:val="0"/>
                    <w:autoSpaceDN w:val="0"/>
                    <w:adjustRightInd w:val="0"/>
                    <w:rPr>
                      <w:rFonts w:ascii="Arial" w:eastAsiaTheme="minorHAnsi" w:hAnsi="Arial" w:cs="Arial"/>
                      <w:color w:val="000000"/>
                      <w:sz w:val="22"/>
                      <w:szCs w:val="22"/>
                      <w:lang w:eastAsia="en-US"/>
                    </w:rPr>
                  </w:pPr>
                </w:p>
                <w:p w14:paraId="220F2776" w14:textId="133B1EE9" w:rsidR="00EA09F2" w:rsidRPr="0025272F" w:rsidRDefault="00EA09F2" w:rsidP="0025272F">
                  <w:pPr>
                    <w:widowControl/>
                    <w:kinsoku/>
                    <w:autoSpaceDE w:val="0"/>
                    <w:autoSpaceDN w:val="0"/>
                    <w:adjustRightInd w:val="0"/>
                    <w:rPr>
                      <w:rFonts w:ascii="Arial" w:eastAsiaTheme="minorHAnsi" w:hAnsi="Arial" w:cs="Arial"/>
                      <w:color w:val="000000"/>
                      <w:sz w:val="22"/>
                      <w:szCs w:val="22"/>
                      <w:lang w:eastAsia="en-US"/>
                    </w:rPr>
                  </w:pPr>
                </w:p>
              </w:tc>
            </w:tr>
          </w:tbl>
          <w:p w14:paraId="481D3BE0" w14:textId="77777777" w:rsidR="0025272F" w:rsidRDefault="0025272F" w:rsidP="0025272F"/>
        </w:tc>
      </w:tr>
      <w:tr w:rsidR="00803F6A" w14:paraId="5BCBEE6A" w14:textId="77777777" w:rsidTr="00C722CD">
        <w:tc>
          <w:tcPr>
            <w:tcW w:w="14601" w:type="dxa"/>
            <w:gridSpan w:val="5"/>
          </w:tcPr>
          <w:p w14:paraId="082C4D1A" w14:textId="1A7D9CF1" w:rsidR="00803F6A" w:rsidRDefault="00803F6A" w:rsidP="00803F6A">
            <w:pPr>
              <w:spacing w:before="72"/>
              <w:ind w:left="34"/>
              <w:rPr>
                <w:rFonts w:ascii="Arial" w:hAnsi="Arial" w:cs="Arial"/>
                <w:b/>
                <w:bCs/>
                <w:color w:val="17818E"/>
                <w:spacing w:val="-4"/>
                <w:w w:val="105"/>
                <w:sz w:val="22"/>
                <w:szCs w:val="22"/>
              </w:rPr>
            </w:pPr>
            <w:r>
              <w:rPr>
                <w:rFonts w:ascii="Arial" w:hAnsi="Arial" w:cs="Arial"/>
                <w:b/>
                <w:bCs/>
                <w:color w:val="17818E"/>
                <w:spacing w:val="-4"/>
                <w:w w:val="105"/>
                <w:sz w:val="22"/>
                <w:szCs w:val="22"/>
              </w:rPr>
              <w:t>3.3 – La Terre dans l’univers</w:t>
            </w:r>
          </w:p>
          <w:tbl>
            <w:tblPr>
              <w:tblW w:w="0" w:type="auto"/>
              <w:tblBorders>
                <w:top w:val="nil"/>
                <w:left w:val="nil"/>
                <w:bottom w:val="nil"/>
                <w:right w:val="nil"/>
              </w:tblBorders>
              <w:tblLook w:val="0000" w:firstRow="0" w:lastRow="0" w:firstColumn="0" w:lastColumn="0" w:noHBand="0" w:noVBand="0"/>
            </w:tblPr>
            <w:tblGrid>
              <w:gridCol w:w="14385"/>
            </w:tblGrid>
            <w:tr w:rsidR="00803F6A" w:rsidRPr="00803F6A" w14:paraId="5AEEFC3D" w14:textId="77777777">
              <w:trPr>
                <w:trHeight w:val="356"/>
              </w:trPr>
              <w:tc>
                <w:tcPr>
                  <w:tcW w:w="0" w:type="auto"/>
                </w:tcPr>
                <w:p w14:paraId="32289BD5" w14:textId="77777777" w:rsidR="00803F6A" w:rsidRPr="00803F6A" w:rsidRDefault="00803F6A" w:rsidP="00803F6A">
                  <w:pPr>
                    <w:widowControl/>
                    <w:kinsoku/>
                    <w:autoSpaceDE w:val="0"/>
                    <w:autoSpaceDN w:val="0"/>
                    <w:adjustRightInd w:val="0"/>
                    <w:rPr>
                      <w:rFonts w:ascii="Arial" w:eastAsiaTheme="minorHAnsi" w:hAnsi="Arial" w:cs="Arial"/>
                      <w:color w:val="000000"/>
                      <w:sz w:val="22"/>
                      <w:szCs w:val="22"/>
                      <w:lang w:eastAsia="en-US"/>
                    </w:rPr>
                  </w:pPr>
                  <w:r w:rsidRPr="00803F6A">
                    <w:rPr>
                      <w:rFonts w:ascii="Arial" w:eastAsiaTheme="minorHAnsi" w:hAnsi="Arial" w:cs="Arial"/>
                      <w:color w:val="000000"/>
                      <w:sz w:val="22"/>
                      <w:szCs w:val="22"/>
                      <w:lang w:eastAsia="en-US"/>
                    </w:rPr>
                    <w:t xml:space="preserve">Le mouvement de la Terre dans l’Univers a été l’objet de célèbres et violentes controverses. L’étude de quelques aspects de ces débats permet de comprendre la difficulté de la construction du savoir scientifique. </w:t>
                  </w:r>
                </w:p>
              </w:tc>
            </w:tr>
          </w:tbl>
          <w:p w14:paraId="79A576CF" w14:textId="77777777" w:rsidR="00803F6A" w:rsidRDefault="00803F6A" w:rsidP="0025272F"/>
        </w:tc>
      </w:tr>
      <w:tr w:rsidR="00803F6A" w14:paraId="6B7ECD35" w14:textId="77777777" w:rsidTr="00EA09F2">
        <w:tc>
          <w:tcPr>
            <w:tcW w:w="3402" w:type="dxa"/>
            <w:vAlign w:val="center"/>
          </w:tcPr>
          <w:p w14:paraId="62B9CA50" w14:textId="1CCD746F" w:rsidR="00803F6A" w:rsidRDefault="00803F6A" w:rsidP="00803F6A">
            <w:r>
              <w:rPr>
                <w:rFonts w:ascii="Arial" w:hAnsi="Arial" w:cs="Arial"/>
                <w:b/>
                <w:bCs/>
                <w:sz w:val="22"/>
                <w:szCs w:val="22"/>
              </w:rPr>
              <w:t>Savoirs</w:t>
            </w:r>
          </w:p>
        </w:tc>
        <w:tc>
          <w:tcPr>
            <w:tcW w:w="3147" w:type="dxa"/>
            <w:vAlign w:val="center"/>
          </w:tcPr>
          <w:p w14:paraId="0C93433F" w14:textId="10F87BE7" w:rsidR="00803F6A" w:rsidRDefault="00803F6A" w:rsidP="00803F6A">
            <w:r>
              <w:rPr>
                <w:rFonts w:ascii="Arial" w:hAnsi="Arial" w:cs="Arial"/>
                <w:b/>
                <w:bCs/>
                <w:sz w:val="22"/>
                <w:szCs w:val="22"/>
              </w:rPr>
              <w:t>Savoir-faire</w:t>
            </w:r>
          </w:p>
        </w:tc>
        <w:tc>
          <w:tcPr>
            <w:tcW w:w="2986" w:type="dxa"/>
            <w:shd w:val="clear" w:color="auto" w:fill="BDD6EE" w:themeFill="accent5" w:themeFillTint="66"/>
          </w:tcPr>
          <w:p w14:paraId="088775BF" w14:textId="27B5FB86" w:rsidR="00803F6A" w:rsidRDefault="00803F6A" w:rsidP="00803F6A">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470" w:type="dxa"/>
          </w:tcPr>
          <w:p w14:paraId="4FBCDA28" w14:textId="0B7F1CC6" w:rsidR="00803F6A" w:rsidRDefault="00803F6A" w:rsidP="00803F6A">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s</w:t>
            </w:r>
            <w:r w:rsidRPr="000C5D32">
              <w:rPr>
                <w:rFonts w:asciiTheme="minorHAnsi" w:hAnsiTheme="minorHAnsi" w:cstheme="minorHAnsi"/>
                <w:b/>
              </w:rPr>
              <w:t xml:space="preserve"> en première</w:t>
            </w:r>
          </w:p>
        </w:tc>
        <w:tc>
          <w:tcPr>
            <w:tcW w:w="2596" w:type="dxa"/>
          </w:tcPr>
          <w:p w14:paraId="1B0A0C19" w14:textId="267F8A49" w:rsidR="00803F6A" w:rsidRDefault="00803F6A" w:rsidP="00803F6A">
            <w:r w:rsidRPr="007F4857">
              <w:rPr>
                <w:rFonts w:asciiTheme="minorHAnsi" w:hAnsiTheme="minorHAnsi" w:cstheme="minorHAnsi"/>
                <w:b/>
              </w:rPr>
              <w:t>Liens avec les programmes de spécialité</w:t>
            </w:r>
          </w:p>
        </w:tc>
      </w:tr>
      <w:tr w:rsidR="00EA09F2" w14:paraId="4FA4668D" w14:textId="77777777" w:rsidTr="00EA09F2">
        <w:tc>
          <w:tcPr>
            <w:tcW w:w="3402" w:type="dxa"/>
          </w:tcPr>
          <w:p w14:paraId="5FFE56A6" w14:textId="77777777" w:rsidR="00EA09F2" w:rsidRPr="00803F6A" w:rsidRDefault="00EA09F2" w:rsidP="00803F6A">
            <w:pPr>
              <w:pStyle w:val="Default"/>
              <w:rPr>
                <w:sz w:val="22"/>
                <w:szCs w:val="22"/>
              </w:rPr>
            </w:pPr>
            <w:r w:rsidRPr="00803F6A">
              <w:rPr>
                <w:sz w:val="22"/>
                <w:szCs w:val="22"/>
              </w:rPr>
              <w:t xml:space="preserve">Observée dans un référentiel fixe par rapport aux étoiles, la Terre parcourt une trajectoire quasi circulaire autour du Soleil. </w:t>
            </w:r>
          </w:p>
          <w:p w14:paraId="54E2FDFF" w14:textId="3B4EF8F8" w:rsidR="00EA09F2" w:rsidRPr="00803F6A" w:rsidRDefault="00EA09F2" w:rsidP="00803F6A">
            <w:pPr>
              <w:rPr>
                <w:rFonts w:ascii="Arial" w:hAnsi="Arial" w:cs="Arial"/>
              </w:rPr>
            </w:pPr>
            <w:r w:rsidRPr="00803F6A">
              <w:rPr>
                <w:rFonts w:ascii="Arial" w:hAnsi="Arial" w:cs="Arial"/>
                <w:sz w:val="22"/>
                <w:szCs w:val="22"/>
              </w:rPr>
              <w:t xml:space="preserve">Le passage d’une conception géocentrique à une conception héliocentrique constitue l’une des controverses majeures de l’histoire des sciences. </w:t>
            </w:r>
          </w:p>
        </w:tc>
        <w:tc>
          <w:tcPr>
            <w:tcW w:w="3147" w:type="dxa"/>
          </w:tcPr>
          <w:p w14:paraId="2336F7E8" w14:textId="5FB213B0" w:rsidR="00EA09F2" w:rsidRPr="00803F6A" w:rsidRDefault="00EA09F2" w:rsidP="00803F6A">
            <w:pPr>
              <w:rPr>
                <w:rFonts w:ascii="Arial" w:hAnsi="Arial" w:cs="Arial"/>
              </w:rPr>
            </w:pPr>
            <w:r w:rsidRPr="00803F6A">
              <w:rPr>
                <w:rFonts w:ascii="Arial" w:hAnsi="Arial" w:cs="Arial"/>
                <w:sz w:val="22"/>
                <w:szCs w:val="22"/>
              </w:rPr>
              <w:t xml:space="preserve">Interpréter des documents présentant des arguments historiques pour discuter la théorie héliocentrique. </w:t>
            </w:r>
          </w:p>
        </w:tc>
        <w:tc>
          <w:tcPr>
            <w:tcW w:w="2986" w:type="dxa"/>
            <w:vMerge w:val="restart"/>
            <w:shd w:val="clear" w:color="auto" w:fill="BDD6EE" w:themeFill="accent5" w:themeFillTint="66"/>
          </w:tcPr>
          <w:p w14:paraId="64C9EB7A" w14:textId="0AC161F3" w:rsidR="00EA09F2" w:rsidRPr="00FE53F3" w:rsidRDefault="00EA09F2" w:rsidP="00803F6A">
            <w:pPr>
              <w:rPr>
                <w:rFonts w:ascii="Cambria" w:hAnsi="Cambria"/>
                <w:b/>
                <w:sz w:val="22"/>
                <w:szCs w:val="22"/>
              </w:rPr>
            </w:pPr>
            <w:r w:rsidRPr="00FE53F3">
              <w:rPr>
                <w:rFonts w:ascii="Cambria" w:hAnsi="Cambria"/>
                <w:b/>
                <w:sz w:val="22"/>
                <w:szCs w:val="22"/>
              </w:rPr>
              <w:t>Physique-chimie :</w:t>
            </w:r>
          </w:p>
          <w:p w14:paraId="746CEDDA" w14:textId="77777777" w:rsidR="00EA09F2" w:rsidRPr="00FE53F3" w:rsidRDefault="00EA09F2" w:rsidP="00DB66B2">
            <w:pPr>
              <w:rPr>
                <w:rFonts w:ascii="Cambria" w:hAnsi="Cambria"/>
                <w:sz w:val="22"/>
                <w:szCs w:val="22"/>
              </w:rPr>
            </w:pPr>
            <w:r w:rsidRPr="00FE53F3">
              <w:rPr>
                <w:rFonts w:ascii="Cambria" w:hAnsi="Cambria"/>
                <w:sz w:val="22"/>
                <w:szCs w:val="22"/>
              </w:rPr>
              <w:t>Système.</w:t>
            </w:r>
          </w:p>
          <w:p w14:paraId="48B9F20A" w14:textId="208750A9" w:rsidR="00EA09F2" w:rsidRPr="00FE53F3" w:rsidRDefault="00EA09F2" w:rsidP="00DB66B2">
            <w:pPr>
              <w:rPr>
                <w:rFonts w:ascii="Cambria" w:hAnsi="Cambria"/>
                <w:sz w:val="22"/>
                <w:szCs w:val="22"/>
              </w:rPr>
            </w:pPr>
            <w:r w:rsidRPr="00FE53F3">
              <w:rPr>
                <w:rFonts w:ascii="Cambria" w:hAnsi="Cambria"/>
                <w:sz w:val="22"/>
                <w:szCs w:val="22"/>
              </w:rPr>
              <w:t>Échelles caractéristiques d’un système. Identifier les échelles temporelles et spatiales pertinentes de description d’un mouvement.</w:t>
            </w:r>
          </w:p>
          <w:p w14:paraId="11EDB929" w14:textId="77777777" w:rsidR="00EA09F2" w:rsidRPr="00FE53F3" w:rsidRDefault="00EA09F2" w:rsidP="00DB66B2">
            <w:pPr>
              <w:rPr>
                <w:rFonts w:ascii="Cambria" w:hAnsi="Cambria"/>
                <w:sz w:val="22"/>
                <w:szCs w:val="22"/>
              </w:rPr>
            </w:pPr>
          </w:p>
          <w:p w14:paraId="3B46F16F" w14:textId="2BA8F336" w:rsidR="00EA09F2" w:rsidRPr="00FE53F3" w:rsidRDefault="00EA09F2" w:rsidP="00DB66B2">
            <w:pPr>
              <w:rPr>
                <w:rFonts w:ascii="Cambria" w:hAnsi="Cambria"/>
                <w:sz w:val="22"/>
                <w:szCs w:val="22"/>
              </w:rPr>
            </w:pPr>
            <w:r w:rsidRPr="00FE53F3">
              <w:rPr>
                <w:rFonts w:ascii="Cambria" w:hAnsi="Cambria"/>
                <w:sz w:val="22"/>
                <w:szCs w:val="22"/>
              </w:rPr>
              <w:lastRenderedPageBreak/>
              <w:t>Référentiel et relativité du mouvement. Choisir un référentiel pour décrire le mouvement d’un système.</w:t>
            </w:r>
          </w:p>
          <w:p w14:paraId="308BDCD6" w14:textId="77777777" w:rsidR="00EA09F2" w:rsidRPr="00FE53F3" w:rsidRDefault="00EA09F2" w:rsidP="00803F6A">
            <w:pPr>
              <w:rPr>
                <w:rFonts w:ascii="Cambria" w:hAnsi="Cambria"/>
                <w:sz w:val="22"/>
                <w:szCs w:val="22"/>
              </w:rPr>
            </w:pPr>
          </w:p>
          <w:p w14:paraId="0EBE2BA9" w14:textId="0580989E" w:rsidR="00EA09F2" w:rsidRPr="00FE53F3" w:rsidRDefault="00EA09F2" w:rsidP="00803F6A">
            <w:pPr>
              <w:rPr>
                <w:rFonts w:ascii="Cambria" w:hAnsi="Cambria"/>
                <w:sz w:val="22"/>
                <w:szCs w:val="22"/>
              </w:rPr>
            </w:pPr>
            <w:r w:rsidRPr="00FE53F3">
              <w:rPr>
                <w:rFonts w:ascii="Cambria" w:hAnsi="Cambria"/>
                <w:sz w:val="22"/>
                <w:szCs w:val="22"/>
              </w:rPr>
              <w:t>Description du mouvement d’un système par celui d’un point. Position. Trajectoire d’un point.</w:t>
            </w:r>
          </w:p>
          <w:p w14:paraId="316B9CEC" w14:textId="086FD411" w:rsidR="00EA09F2" w:rsidRPr="00FE53F3" w:rsidRDefault="00EA09F2" w:rsidP="00803F6A">
            <w:pPr>
              <w:rPr>
                <w:rFonts w:ascii="Cambria" w:hAnsi="Cambria"/>
                <w:sz w:val="22"/>
                <w:szCs w:val="22"/>
              </w:rPr>
            </w:pPr>
          </w:p>
          <w:p w14:paraId="45274AD8" w14:textId="6DB6650A" w:rsidR="00EA09F2" w:rsidRPr="00FE53F3" w:rsidRDefault="00EA09F2" w:rsidP="00803F6A">
            <w:pPr>
              <w:rPr>
                <w:rFonts w:ascii="Cambria" w:hAnsi="Cambria"/>
                <w:sz w:val="22"/>
                <w:szCs w:val="22"/>
              </w:rPr>
            </w:pPr>
            <w:r w:rsidRPr="00FE53F3">
              <w:rPr>
                <w:rFonts w:ascii="Cambria" w:hAnsi="Cambria"/>
                <w:sz w:val="22"/>
                <w:szCs w:val="22"/>
              </w:rPr>
              <w:t>Caractériser différentes trajectoires.</w:t>
            </w:r>
          </w:p>
          <w:p w14:paraId="2EA00344" w14:textId="4D864AD0" w:rsidR="00EA09F2" w:rsidRPr="00FE53F3" w:rsidRDefault="00EA09F2" w:rsidP="00803F6A">
            <w:pPr>
              <w:rPr>
                <w:rFonts w:ascii="Cambria" w:hAnsi="Cambria"/>
                <w:sz w:val="22"/>
                <w:szCs w:val="22"/>
              </w:rPr>
            </w:pPr>
          </w:p>
          <w:p w14:paraId="33F0F1BE" w14:textId="4392AC30" w:rsidR="00EA09F2" w:rsidRPr="00FE53F3" w:rsidRDefault="00EA09F2" w:rsidP="00803F6A">
            <w:pPr>
              <w:rPr>
                <w:rFonts w:ascii="Cambria" w:hAnsi="Cambria"/>
                <w:sz w:val="22"/>
                <w:szCs w:val="22"/>
              </w:rPr>
            </w:pPr>
            <w:r w:rsidRPr="00FE53F3">
              <w:rPr>
                <w:rFonts w:ascii="Cambria" w:hAnsi="Cambria"/>
                <w:sz w:val="22"/>
                <w:szCs w:val="22"/>
              </w:rPr>
              <w:t>Distinguer actions à distance et actions de contact.</w:t>
            </w:r>
          </w:p>
          <w:p w14:paraId="6CE47EF5" w14:textId="14E76ED3" w:rsidR="00EA09F2" w:rsidRPr="00FE53F3" w:rsidRDefault="00EA09F2" w:rsidP="00803F6A">
            <w:pPr>
              <w:rPr>
                <w:rFonts w:ascii="Cambria" w:hAnsi="Cambria"/>
                <w:sz w:val="22"/>
                <w:szCs w:val="22"/>
              </w:rPr>
            </w:pPr>
          </w:p>
          <w:p w14:paraId="42770E27" w14:textId="77777777" w:rsidR="00EA09F2" w:rsidRPr="00FE53F3" w:rsidRDefault="00EA09F2" w:rsidP="00FE53F3">
            <w:pPr>
              <w:rPr>
                <w:rFonts w:ascii="Cambria" w:hAnsi="Cambria"/>
                <w:sz w:val="22"/>
                <w:szCs w:val="22"/>
              </w:rPr>
            </w:pPr>
            <w:r w:rsidRPr="00FE53F3">
              <w:rPr>
                <w:rFonts w:ascii="Cambria" w:hAnsi="Cambria"/>
                <w:sz w:val="22"/>
                <w:szCs w:val="22"/>
              </w:rPr>
              <w:t>Utiliser l’expression vectorielle de la force d’interaction</w:t>
            </w:r>
          </w:p>
          <w:p w14:paraId="0ED131B6" w14:textId="70EF4B76" w:rsidR="00EA09F2" w:rsidRPr="00DB66B2" w:rsidRDefault="00EA09F2" w:rsidP="00DB66B2">
            <w:pPr>
              <w:rPr>
                <w:rFonts w:ascii="Cambria" w:hAnsi="Cambria"/>
                <w:sz w:val="22"/>
                <w:szCs w:val="22"/>
              </w:rPr>
            </w:pPr>
            <w:proofErr w:type="gramStart"/>
            <w:r w:rsidRPr="00FE53F3">
              <w:rPr>
                <w:rFonts w:ascii="Cambria" w:hAnsi="Cambria"/>
                <w:sz w:val="22"/>
                <w:szCs w:val="22"/>
              </w:rPr>
              <w:t>gravitationnelle</w:t>
            </w:r>
            <w:proofErr w:type="gramEnd"/>
            <w:r w:rsidRPr="00FE53F3">
              <w:rPr>
                <w:rFonts w:ascii="Cambria" w:hAnsi="Cambria"/>
                <w:sz w:val="22"/>
                <w:szCs w:val="22"/>
              </w:rPr>
              <w:t>.</w:t>
            </w:r>
          </w:p>
        </w:tc>
        <w:tc>
          <w:tcPr>
            <w:tcW w:w="2470" w:type="dxa"/>
            <w:vMerge w:val="restart"/>
          </w:tcPr>
          <w:p w14:paraId="0A6CCFF6" w14:textId="77777777" w:rsidR="00EA09F2" w:rsidRDefault="00EA09F2" w:rsidP="00803F6A"/>
        </w:tc>
        <w:tc>
          <w:tcPr>
            <w:tcW w:w="2596" w:type="dxa"/>
            <w:vMerge w:val="restart"/>
          </w:tcPr>
          <w:p w14:paraId="13D09CE8" w14:textId="77777777" w:rsidR="00EA09F2" w:rsidRPr="00FE53F3" w:rsidRDefault="00EA09F2" w:rsidP="00803F6A">
            <w:pPr>
              <w:rPr>
                <w:rFonts w:ascii="Cambria" w:hAnsi="Cambria"/>
                <w:b/>
              </w:rPr>
            </w:pPr>
            <w:r w:rsidRPr="00FE53F3">
              <w:rPr>
                <w:rFonts w:ascii="Cambria" w:hAnsi="Cambria"/>
                <w:b/>
              </w:rPr>
              <w:t>Physique-chimie :</w:t>
            </w:r>
          </w:p>
          <w:p w14:paraId="0B72D6BA" w14:textId="74E698F1" w:rsidR="00EA09F2" w:rsidRDefault="00EA09F2" w:rsidP="00803F6A">
            <w:r w:rsidRPr="00FE53F3">
              <w:rPr>
                <w:rFonts w:ascii="Cambria" w:hAnsi="Cambria"/>
              </w:rPr>
              <w:t>Force de gravitation et champ de gravitation.</w:t>
            </w:r>
          </w:p>
        </w:tc>
      </w:tr>
      <w:tr w:rsidR="00EA09F2" w14:paraId="36147173" w14:textId="77777777" w:rsidTr="00EA09F2">
        <w:trPr>
          <w:trHeight w:val="2824"/>
        </w:trPr>
        <w:tc>
          <w:tcPr>
            <w:tcW w:w="3402" w:type="dxa"/>
          </w:tcPr>
          <w:p w14:paraId="4DAA3FB9" w14:textId="77777777" w:rsidR="00EA09F2" w:rsidRPr="00803F6A" w:rsidRDefault="00EA09F2" w:rsidP="00803F6A">
            <w:pPr>
              <w:pStyle w:val="Default"/>
              <w:rPr>
                <w:sz w:val="22"/>
                <w:szCs w:val="22"/>
              </w:rPr>
            </w:pPr>
            <w:r w:rsidRPr="00803F6A">
              <w:rPr>
                <w:sz w:val="22"/>
                <w:szCs w:val="22"/>
              </w:rPr>
              <w:lastRenderedPageBreak/>
              <w:t xml:space="preserve">Observée dans un référentiel géocentrique, la Lune tourne autour de la Terre sur une trajectoire quasi-circulaire. Elle présente un aspect qui varie au cours de cette rotation (phases). </w:t>
            </w:r>
          </w:p>
          <w:p w14:paraId="1FAA970C" w14:textId="175B6E8E" w:rsidR="00EA09F2" w:rsidRPr="00803F6A" w:rsidRDefault="00EA09F2" w:rsidP="00803F6A">
            <w:pPr>
              <w:rPr>
                <w:rFonts w:ascii="Arial" w:hAnsi="Arial" w:cs="Arial"/>
              </w:rPr>
            </w:pPr>
            <w:r w:rsidRPr="00803F6A">
              <w:rPr>
                <w:rFonts w:ascii="Arial" w:hAnsi="Arial" w:cs="Arial"/>
                <w:sz w:val="22"/>
                <w:szCs w:val="22"/>
              </w:rPr>
              <w:t xml:space="preserve">La Lune tourne également sur elle-même et présente toujours la même face à la Terre. </w:t>
            </w:r>
          </w:p>
        </w:tc>
        <w:tc>
          <w:tcPr>
            <w:tcW w:w="3147" w:type="dxa"/>
          </w:tcPr>
          <w:p w14:paraId="6E7160C0" w14:textId="29AD08F7" w:rsidR="00EA09F2" w:rsidRPr="00803F6A" w:rsidRDefault="00EA09F2" w:rsidP="00803F6A">
            <w:pPr>
              <w:rPr>
                <w:rFonts w:ascii="Arial" w:hAnsi="Arial" w:cs="Arial"/>
              </w:rPr>
            </w:pPr>
            <w:r w:rsidRPr="00803F6A">
              <w:rPr>
                <w:rFonts w:ascii="Arial" w:hAnsi="Arial" w:cs="Arial"/>
                <w:sz w:val="22"/>
                <w:szCs w:val="22"/>
              </w:rPr>
              <w:t xml:space="preserve">Interpréter l’aspect de la Lune dans le ciel en fonction de sa position par rapport à la Terre et au Soleil. </w:t>
            </w:r>
          </w:p>
        </w:tc>
        <w:tc>
          <w:tcPr>
            <w:tcW w:w="2986" w:type="dxa"/>
            <w:vMerge/>
            <w:shd w:val="clear" w:color="auto" w:fill="BDD6EE" w:themeFill="accent5" w:themeFillTint="66"/>
          </w:tcPr>
          <w:p w14:paraId="0E99AB33" w14:textId="77777777" w:rsidR="00EA09F2" w:rsidRDefault="00EA09F2" w:rsidP="00803F6A"/>
        </w:tc>
        <w:tc>
          <w:tcPr>
            <w:tcW w:w="2470" w:type="dxa"/>
            <w:vMerge/>
          </w:tcPr>
          <w:p w14:paraId="38498A56" w14:textId="77777777" w:rsidR="00EA09F2" w:rsidRDefault="00EA09F2" w:rsidP="00803F6A"/>
        </w:tc>
        <w:tc>
          <w:tcPr>
            <w:tcW w:w="2596" w:type="dxa"/>
            <w:vMerge/>
          </w:tcPr>
          <w:p w14:paraId="784CD1AA" w14:textId="77777777" w:rsidR="00EA09F2" w:rsidRDefault="00EA09F2" w:rsidP="00803F6A"/>
        </w:tc>
      </w:tr>
      <w:tr w:rsidR="002514D3" w14:paraId="02DBEADA" w14:textId="77777777" w:rsidTr="00C722CD">
        <w:tc>
          <w:tcPr>
            <w:tcW w:w="14601" w:type="dxa"/>
            <w:gridSpan w:val="5"/>
          </w:tcPr>
          <w:tbl>
            <w:tblPr>
              <w:tblW w:w="0" w:type="auto"/>
              <w:tblBorders>
                <w:top w:val="nil"/>
                <w:left w:val="nil"/>
                <w:bottom w:val="nil"/>
                <w:right w:val="nil"/>
              </w:tblBorders>
              <w:tblLook w:val="0000" w:firstRow="0" w:lastRow="0" w:firstColumn="0" w:lastColumn="0" w:noHBand="0" w:noVBand="0"/>
            </w:tblPr>
            <w:tblGrid>
              <w:gridCol w:w="14385"/>
            </w:tblGrid>
            <w:tr w:rsidR="002514D3" w:rsidRPr="002514D3" w14:paraId="1D80C912" w14:textId="77777777">
              <w:trPr>
                <w:trHeight w:val="504"/>
              </w:trPr>
              <w:tc>
                <w:tcPr>
                  <w:tcW w:w="0" w:type="auto"/>
                </w:tcPr>
                <w:p w14:paraId="285E5D87" w14:textId="77777777" w:rsidR="002514D3" w:rsidRPr="002514D3" w:rsidRDefault="002514D3" w:rsidP="002514D3">
                  <w:pPr>
                    <w:widowControl/>
                    <w:kinsoku/>
                    <w:autoSpaceDE w:val="0"/>
                    <w:autoSpaceDN w:val="0"/>
                    <w:adjustRightInd w:val="0"/>
                    <w:rPr>
                      <w:rFonts w:ascii="Arial" w:eastAsiaTheme="minorHAnsi" w:hAnsi="Arial" w:cs="Arial"/>
                      <w:color w:val="000000"/>
                      <w:sz w:val="22"/>
                      <w:szCs w:val="22"/>
                      <w:lang w:eastAsia="en-US"/>
                    </w:rPr>
                  </w:pPr>
                  <w:r w:rsidRPr="002514D3">
                    <w:rPr>
                      <w:rFonts w:ascii="Arial" w:eastAsiaTheme="minorHAnsi" w:hAnsi="Arial" w:cs="Arial"/>
                      <w:b/>
                      <w:bCs/>
                      <w:color w:val="000000"/>
                      <w:sz w:val="22"/>
                      <w:szCs w:val="22"/>
                      <w:lang w:eastAsia="en-US"/>
                    </w:rPr>
                    <w:t xml:space="preserve">Prérequis et limites </w:t>
                  </w:r>
                </w:p>
                <w:p w14:paraId="4736D471" w14:textId="77777777" w:rsidR="002514D3" w:rsidRPr="002514D3" w:rsidRDefault="002514D3" w:rsidP="002514D3">
                  <w:pPr>
                    <w:widowControl/>
                    <w:kinsoku/>
                    <w:autoSpaceDE w:val="0"/>
                    <w:autoSpaceDN w:val="0"/>
                    <w:adjustRightInd w:val="0"/>
                    <w:rPr>
                      <w:rFonts w:ascii="Arial" w:eastAsiaTheme="minorHAnsi" w:hAnsi="Arial" w:cs="Arial"/>
                      <w:color w:val="000000"/>
                      <w:sz w:val="22"/>
                      <w:szCs w:val="22"/>
                      <w:lang w:eastAsia="en-US"/>
                    </w:rPr>
                  </w:pPr>
                  <w:r w:rsidRPr="002514D3">
                    <w:rPr>
                      <w:rFonts w:ascii="Arial" w:eastAsiaTheme="minorHAnsi" w:hAnsi="Arial" w:cs="Arial"/>
                      <w:color w:val="000000"/>
                      <w:sz w:val="22"/>
                      <w:szCs w:val="22"/>
                      <w:lang w:eastAsia="en-US"/>
                    </w:rPr>
                    <w:t xml:space="preserve">L’organisation du système solaire est déjà connue. L’accent est mis ici sur la compréhension de cette organisation au cours de l’histoire des sciences et sur l’importance des controverses scientifiques concernées. </w:t>
                  </w:r>
                </w:p>
              </w:tc>
            </w:tr>
          </w:tbl>
          <w:p w14:paraId="7F5BE137" w14:textId="77777777" w:rsidR="002514D3" w:rsidRDefault="002514D3" w:rsidP="00803F6A"/>
        </w:tc>
      </w:tr>
    </w:tbl>
    <w:p w14:paraId="4782F059" w14:textId="77777777" w:rsidR="003D64B8" w:rsidRDefault="003D64B8" w:rsidP="003D64B8">
      <w:pPr>
        <w:tabs>
          <w:tab w:val="left" w:pos="1216"/>
        </w:tabs>
      </w:pPr>
    </w:p>
    <w:p w14:paraId="43BB7F56" w14:textId="0AA0925B" w:rsidR="00455303" w:rsidRDefault="00455303">
      <w:pPr>
        <w:widowControl/>
        <w:kinsoku/>
        <w:spacing w:after="160" w:line="259" w:lineRule="auto"/>
      </w:pPr>
      <w:r>
        <w:br w:type="page"/>
      </w:r>
    </w:p>
    <w:p w14:paraId="4D1B6E3F" w14:textId="77777777" w:rsidR="00C00448" w:rsidRDefault="00C00448"/>
    <w:tbl>
      <w:tblPr>
        <w:tblStyle w:val="Grilledutableau"/>
        <w:tblW w:w="14566" w:type="dxa"/>
        <w:tblInd w:w="-572" w:type="dxa"/>
        <w:tblLayout w:type="fixed"/>
        <w:tblLook w:val="04A0" w:firstRow="1" w:lastRow="0" w:firstColumn="1" w:lastColumn="0" w:noHBand="0" w:noVBand="1"/>
      </w:tblPr>
      <w:tblGrid>
        <w:gridCol w:w="3370"/>
        <w:gridCol w:w="2799"/>
        <w:gridCol w:w="2799"/>
        <w:gridCol w:w="2799"/>
        <w:gridCol w:w="2799"/>
      </w:tblGrid>
      <w:tr w:rsidR="00F81B10" w14:paraId="5ECB0C11" w14:textId="77777777" w:rsidTr="00DA0F2D">
        <w:tc>
          <w:tcPr>
            <w:tcW w:w="14566" w:type="dxa"/>
            <w:gridSpan w:val="5"/>
            <w:shd w:val="clear" w:color="auto" w:fill="297C8D"/>
          </w:tcPr>
          <w:p w14:paraId="28D06BFA" w14:textId="547057FC" w:rsidR="00F81B10" w:rsidRDefault="003D04B0" w:rsidP="00E01953">
            <w:r>
              <w:rPr>
                <w:rFonts w:ascii="Arial" w:hAnsi="Arial" w:cs="Arial"/>
                <w:b/>
                <w:bCs/>
                <w:color w:val="FFFFFF" w:themeColor="background1"/>
                <w:spacing w:val="-1"/>
                <w:w w:val="105"/>
                <w:sz w:val="22"/>
                <w:szCs w:val="22"/>
              </w:rPr>
              <w:t>4</w:t>
            </w:r>
            <w:r w:rsidR="00F81B10" w:rsidRPr="00C00448">
              <w:rPr>
                <w:rFonts w:ascii="Arial" w:hAnsi="Arial" w:cs="Arial"/>
                <w:b/>
                <w:bCs/>
                <w:color w:val="FFFFFF" w:themeColor="background1"/>
                <w:spacing w:val="-1"/>
                <w:w w:val="105"/>
                <w:sz w:val="22"/>
                <w:szCs w:val="22"/>
              </w:rPr>
              <w:t xml:space="preserve"> – </w:t>
            </w:r>
            <w:r>
              <w:rPr>
                <w:rFonts w:ascii="Arial" w:hAnsi="Arial" w:cs="Arial"/>
                <w:b/>
                <w:bCs/>
                <w:color w:val="FFFFFF" w:themeColor="background1"/>
                <w:spacing w:val="-1"/>
                <w:w w:val="105"/>
                <w:sz w:val="22"/>
                <w:szCs w:val="22"/>
              </w:rPr>
              <w:t>Son et musique, porteurs d’information</w:t>
            </w:r>
          </w:p>
        </w:tc>
      </w:tr>
      <w:tr w:rsidR="003D04B0" w14:paraId="04FD4381" w14:textId="77777777" w:rsidTr="00DA0F2D">
        <w:tc>
          <w:tcPr>
            <w:tcW w:w="14566" w:type="dxa"/>
            <w:gridSpan w:val="5"/>
          </w:tcPr>
          <w:p w14:paraId="113696AF" w14:textId="77777777" w:rsidR="003D04B0" w:rsidRDefault="003D04B0" w:rsidP="003D04B0">
            <w:pPr>
              <w:pStyle w:val="Default"/>
              <w:rPr>
                <w:sz w:val="22"/>
                <w:szCs w:val="22"/>
              </w:rPr>
            </w:pPr>
            <w:r>
              <w:rPr>
                <w:sz w:val="22"/>
                <w:szCs w:val="22"/>
              </w:rPr>
              <w:t xml:space="preserve">L’être humain perçoit le monde à l’aide de signaux dont certains sont de nature sonore. De l’Antiquité jusqu’à nos jours, il a combiné les sons de manière harmonieuse pour en faire un art, la musique, qui entretient des liens privilégiés avec les mathématiques. L’informatique permet aujourd’hui de numériser les sons et la musique. </w:t>
            </w:r>
          </w:p>
          <w:p w14:paraId="2E9AD57F" w14:textId="763F81C0" w:rsidR="003D04B0" w:rsidRPr="00665303" w:rsidRDefault="003D04B0" w:rsidP="003D04B0">
            <w:pPr>
              <w:pStyle w:val="Default"/>
              <w:rPr>
                <w:sz w:val="22"/>
                <w:szCs w:val="22"/>
              </w:rPr>
            </w:pPr>
            <w:r>
              <w:rPr>
                <w:sz w:val="22"/>
                <w:szCs w:val="22"/>
              </w:rPr>
              <w:t xml:space="preserve">La compréhension des mécanismes auditifs s’inscrit dans une perspective d’éducation à la santé. </w:t>
            </w:r>
          </w:p>
        </w:tc>
      </w:tr>
      <w:tr w:rsidR="003D04B0" w14:paraId="0EDDF02E" w14:textId="77777777" w:rsidTr="00DA0F2D">
        <w:tc>
          <w:tcPr>
            <w:tcW w:w="14566" w:type="dxa"/>
            <w:gridSpan w:val="5"/>
          </w:tcPr>
          <w:p w14:paraId="24B28807" w14:textId="77777777" w:rsidR="003D04B0" w:rsidRDefault="003D04B0" w:rsidP="003D04B0">
            <w:pPr>
              <w:pStyle w:val="Default"/>
              <w:rPr>
                <w:sz w:val="22"/>
                <w:szCs w:val="22"/>
              </w:rPr>
            </w:pPr>
            <w:r>
              <w:rPr>
                <w:b/>
                <w:bCs/>
                <w:sz w:val="22"/>
                <w:szCs w:val="22"/>
              </w:rPr>
              <w:t xml:space="preserve">Histoire, enjeux, débats </w:t>
            </w:r>
          </w:p>
          <w:p w14:paraId="7019483C" w14:textId="77777777" w:rsidR="003D04B0" w:rsidRDefault="003D04B0" w:rsidP="003D04B0">
            <w:pPr>
              <w:pStyle w:val="Default"/>
              <w:rPr>
                <w:sz w:val="22"/>
                <w:szCs w:val="22"/>
              </w:rPr>
            </w:pPr>
            <w:r>
              <w:rPr>
                <w:sz w:val="22"/>
                <w:szCs w:val="22"/>
              </w:rPr>
              <w:t xml:space="preserve">L’histoire de l’analyse temps-fréquence depuis Fourier. </w:t>
            </w:r>
          </w:p>
          <w:p w14:paraId="14F521E2" w14:textId="77777777" w:rsidR="003D04B0" w:rsidRDefault="003D04B0" w:rsidP="003D04B0">
            <w:pPr>
              <w:pStyle w:val="Default"/>
              <w:rPr>
                <w:sz w:val="22"/>
                <w:szCs w:val="22"/>
              </w:rPr>
            </w:pPr>
            <w:r>
              <w:rPr>
                <w:sz w:val="22"/>
                <w:szCs w:val="22"/>
              </w:rPr>
              <w:t xml:space="preserve">La controverse entre d'Alembert, Euler et Daniel Bernoulli sur le problème des cordes vibrantes. </w:t>
            </w:r>
          </w:p>
          <w:p w14:paraId="1B2186CA" w14:textId="77777777" w:rsidR="003D04B0" w:rsidRDefault="003D04B0" w:rsidP="003D04B0">
            <w:pPr>
              <w:pStyle w:val="Default"/>
              <w:rPr>
                <w:sz w:val="22"/>
                <w:szCs w:val="22"/>
              </w:rPr>
            </w:pPr>
            <w:r>
              <w:rPr>
                <w:sz w:val="22"/>
                <w:szCs w:val="22"/>
              </w:rPr>
              <w:t xml:space="preserve">L’histoire des gammes, de Pythagore à Bach. </w:t>
            </w:r>
          </w:p>
          <w:p w14:paraId="703CA2E2" w14:textId="77777777" w:rsidR="003D04B0" w:rsidRDefault="003D04B0" w:rsidP="003D04B0">
            <w:pPr>
              <w:pStyle w:val="Default"/>
              <w:rPr>
                <w:sz w:val="22"/>
                <w:szCs w:val="22"/>
              </w:rPr>
            </w:pPr>
            <w:r>
              <w:rPr>
                <w:sz w:val="22"/>
                <w:szCs w:val="22"/>
              </w:rPr>
              <w:t xml:space="preserve">Des algorithmes au </w:t>
            </w:r>
            <w:proofErr w:type="spellStart"/>
            <w:r>
              <w:rPr>
                <w:sz w:val="22"/>
                <w:szCs w:val="22"/>
              </w:rPr>
              <w:t>coeur</w:t>
            </w:r>
            <w:proofErr w:type="spellEnd"/>
            <w:r>
              <w:rPr>
                <w:sz w:val="22"/>
                <w:szCs w:val="22"/>
              </w:rPr>
              <w:t xml:space="preserve"> de la composition musicale : de l’Offrande musicale de Bach à la musique contemporaine. </w:t>
            </w:r>
          </w:p>
          <w:p w14:paraId="6141BE72" w14:textId="77777777" w:rsidR="003D04B0" w:rsidRDefault="003D04B0" w:rsidP="003D04B0">
            <w:pPr>
              <w:pStyle w:val="Default"/>
              <w:rPr>
                <w:sz w:val="22"/>
                <w:szCs w:val="22"/>
              </w:rPr>
            </w:pPr>
            <w:r>
              <w:rPr>
                <w:sz w:val="22"/>
                <w:szCs w:val="22"/>
              </w:rPr>
              <w:t xml:space="preserve">Les enjeux culturels et économiques de la numérisation et de la compression des sons. </w:t>
            </w:r>
          </w:p>
          <w:p w14:paraId="772CDB17" w14:textId="32340F7B" w:rsidR="003D04B0" w:rsidRPr="00E01953" w:rsidRDefault="003D04B0" w:rsidP="003D04B0">
            <w:pPr>
              <w:rPr>
                <w:rFonts w:ascii="Arial" w:hAnsi="Arial" w:cs="Arial"/>
              </w:rPr>
            </w:pPr>
            <w:r w:rsidRPr="00E01953">
              <w:rPr>
                <w:rFonts w:ascii="Arial" w:hAnsi="Arial" w:cs="Arial"/>
                <w:sz w:val="22"/>
                <w:szCs w:val="22"/>
              </w:rPr>
              <w:t xml:space="preserve">La santé auditive. </w:t>
            </w:r>
          </w:p>
        </w:tc>
      </w:tr>
      <w:tr w:rsidR="00F81B10" w14:paraId="7922FFDA" w14:textId="77777777" w:rsidTr="00DA0F2D">
        <w:tc>
          <w:tcPr>
            <w:tcW w:w="14566" w:type="dxa"/>
            <w:gridSpan w:val="5"/>
          </w:tcPr>
          <w:p w14:paraId="7353BAB2" w14:textId="4375EF81" w:rsidR="00F81B10" w:rsidRPr="003D04B0" w:rsidRDefault="003D04B0" w:rsidP="003D04B0">
            <w:pPr>
              <w:spacing w:before="72"/>
              <w:ind w:left="34"/>
              <w:rPr>
                <w:rFonts w:ascii="Arial" w:hAnsi="Arial" w:cs="Arial"/>
                <w:b/>
                <w:bCs/>
                <w:color w:val="17818E"/>
                <w:spacing w:val="-4"/>
                <w:w w:val="105"/>
                <w:sz w:val="22"/>
                <w:szCs w:val="22"/>
              </w:rPr>
            </w:pPr>
            <w:r>
              <w:rPr>
                <w:rFonts w:ascii="Arial" w:hAnsi="Arial" w:cs="Arial"/>
                <w:b/>
                <w:bCs/>
                <w:color w:val="17818E"/>
                <w:spacing w:val="-4"/>
                <w:w w:val="105"/>
                <w:sz w:val="22"/>
                <w:szCs w:val="22"/>
              </w:rPr>
              <w:t>4.1</w:t>
            </w:r>
            <w:r w:rsidR="00F81B10" w:rsidRPr="003D04B0">
              <w:rPr>
                <w:rFonts w:ascii="Arial" w:hAnsi="Arial" w:cs="Arial"/>
                <w:b/>
                <w:bCs/>
                <w:color w:val="17818E"/>
                <w:spacing w:val="-4"/>
                <w:w w:val="105"/>
                <w:sz w:val="22"/>
                <w:szCs w:val="22"/>
              </w:rPr>
              <w:t xml:space="preserve">– </w:t>
            </w:r>
            <w:r>
              <w:rPr>
                <w:rFonts w:ascii="Arial" w:hAnsi="Arial" w:cs="Arial"/>
                <w:b/>
                <w:bCs/>
                <w:color w:val="17818E"/>
                <w:spacing w:val="-4"/>
                <w:w w:val="105"/>
                <w:sz w:val="22"/>
                <w:szCs w:val="22"/>
              </w:rPr>
              <w:t>Le son, phénomène vibratoire</w:t>
            </w:r>
          </w:p>
          <w:p w14:paraId="7FB5B663" w14:textId="3B795937" w:rsidR="00F81B10" w:rsidRDefault="003D04B0" w:rsidP="003D04B0">
            <w:pPr>
              <w:pStyle w:val="Default"/>
            </w:pPr>
            <w:r w:rsidRPr="003D04B0">
              <w:t>La banalité du son dans l’environnement cache une réalité physique précise.</w:t>
            </w:r>
          </w:p>
        </w:tc>
      </w:tr>
      <w:tr w:rsidR="00F81B10" w14:paraId="312FD699" w14:textId="77777777" w:rsidTr="00DA0F2D">
        <w:tc>
          <w:tcPr>
            <w:tcW w:w="3370" w:type="dxa"/>
            <w:tcBorders>
              <w:top w:val="single" w:sz="4" w:space="0" w:color="auto"/>
              <w:left w:val="single" w:sz="4" w:space="0" w:color="auto"/>
              <w:bottom w:val="single" w:sz="4" w:space="0" w:color="auto"/>
              <w:right w:val="single" w:sz="4" w:space="0" w:color="auto"/>
            </w:tcBorders>
            <w:vAlign w:val="center"/>
          </w:tcPr>
          <w:p w14:paraId="4EBE5331" w14:textId="77777777" w:rsidR="00F81B10" w:rsidRDefault="00F81B10" w:rsidP="00E01953">
            <w:r>
              <w:rPr>
                <w:rFonts w:ascii="Arial" w:hAnsi="Arial" w:cs="Arial"/>
                <w:b/>
                <w:bCs/>
                <w:sz w:val="22"/>
                <w:szCs w:val="22"/>
              </w:rPr>
              <w:t>Savoirs</w:t>
            </w:r>
          </w:p>
        </w:tc>
        <w:tc>
          <w:tcPr>
            <w:tcW w:w="2799" w:type="dxa"/>
            <w:tcBorders>
              <w:top w:val="single" w:sz="4" w:space="0" w:color="auto"/>
              <w:left w:val="single" w:sz="4" w:space="0" w:color="auto"/>
              <w:bottom w:val="single" w:sz="4" w:space="0" w:color="auto"/>
              <w:right w:val="single" w:sz="4" w:space="0" w:color="auto"/>
            </w:tcBorders>
            <w:vAlign w:val="center"/>
          </w:tcPr>
          <w:p w14:paraId="768A6886" w14:textId="77777777" w:rsidR="00F81B10" w:rsidRDefault="00F81B10" w:rsidP="00E01953">
            <w:r>
              <w:rPr>
                <w:rFonts w:ascii="Arial" w:hAnsi="Arial" w:cs="Arial"/>
                <w:b/>
                <w:bCs/>
                <w:sz w:val="22"/>
                <w:szCs w:val="22"/>
              </w:rPr>
              <w:t>Savoir-faire</w:t>
            </w:r>
          </w:p>
        </w:tc>
        <w:tc>
          <w:tcPr>
            <w:tcW w:w="2799" w:type="dxa"/>
            <w:shd w:val="clear" w:color="auto" w:fill="BDD6EE" w:themeFill="accent5" w:themeFillTint="66"/>
          </w:tcPr>
          <w:p w14:paraId="36D8C1D5" w14:textId="77777777" w:rsidR="00F81B10" w:rsidRDefault="00F81B10" w:rsidP="00E01953">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799" w:type="dxa"/>
          </w:tcPr>
          <w:p w14:paraId="3490EA9C" w14:textId="77777777" w:rsidR="00F81B10" w:rsidRPr="00FA3286" w:rsidRDefault="00F81B10" w:rsidP="00E01953">
            <w:pPr>
              <w:rPr>
                <w:rFonts w:ascii="Cambria" w:hAnsi="Cambria"/>
                <w:sz w:val="22"/>
                <w:szCs w:val="22"/>
              </w:rPr>
            </w:pPr>
            <w:r w:rsidRPr="00FA3286">
              <w:rPr>
                <w:rFonts w:ascii="Cambria" w:hAnsi="Cambria" w:cstheme="minorHAnsi"/>
                <w:b/>
                <w:sz w:val="22"/>
                <w:szCs w:val="22"/>
              </w:rPr>
              <w:t>Saut conceptuel en première</w:t>
            </w:r>
          </w:p>
        </w:tc>
        <w:tc>
          <w:tcPr>
            <w:tcW w:w="2799" w:type="dxa"/>
          </w:tcPr>
          <w:p w14:paraId="36854188" w14:textId="77777777" w:rsidR="00F81B10" w:rsidRPr="007F4857" w:rsidRDefault="00F81B10" w:rsidP="00E01953">
            <w:pPr>
              <w:rPr>
                <w:rFonts w:asciiTheme="minorHAnsi" w:hAnsiTheme="minorHAnsi" w:cstheme="minorHAnsi"/>
                <w:b/>
              </w:rPr>
            </w:pPr>
            <w:r w:rsidRPr="007F4857">
              <w:rPr>
                <w:rFonts w:asciiTheme="minorHAnsi" w:hAnsiTheme="minorHAnsi" w:cstheme="minorHAnsi"/>
                <w:b/>
              </w:rPr>
              <w:t>Liens avec les programmes de spécialité</w:t>
            </w:r>
          </w:p>
        </w:tc>
      </w:tr>
      <w:tr w:rsidR="00455303" w14:paraId="117CCB84" w14:textId="77777777" w:rsidTr="00DA0F2D">
        <w:tc>
          <w:tcPr>
            <w:tcW w:w="3370" w:type="dxa"/>
          </w:tcPr>
          <w:p w14:paraId="3559C45E" w14:textId="77777777" w:rsidR="00455303" w:rsidRDefault="00455303" w:rsidP="00C57E33">
            <w:pPr>
              <w:spacing w:before="72"/>
              <w:ind w:left="36" w:right="36"/>
              <w:jc w:val="both"/>
              <w:rPr>
                <w:rFonts w:ascii="Arial" w:hAnsi="Arial" w:cs="Arial"/>
                <w:sz w:val="22"/>
                <w:szCs w:val="22"/>
              </w:rPr>
            </w:pPr>
            <w:r>
              <w:rPr>
                <w:rFonts w:ascii="Arial" w:hAnsi="Arial" w:cs="Arial"/>
                <w:spacing w:val="-5"/>
                <w:sz w:val="22"/>
                <w:szCs w:val="22"/>
              </w:rPr>
              <w:t xml:space="preserve">Un son pur est associé à un signal dépendant du </w:t>
            </w:r>
            <w:r>
              <w:rPr>
                <w:rFonts w:ascii="Arial" w:hAnsi="Arial" w:cs="Arial"/>
                <w:sz w:val="22"/>
                <w:szCs w:val="22"/>
              </w:rPr>
              <w:t>temps de façon sinusoïdale.</w:t>
            </w:r>
          </w:p>
          <w:p w14:paraId="4FCF2A48" w14:textId="77777777" w:rsidR="00455303" w:rsidRDefault="00455303" w:rsidP="00C57E33">
            <w:pPr>
              <w:ind w:left="36" w:right="36"/>
              <w:jc w:val="both"/>
              <w:rPr>
                <w:rFonts w:ascii="Arial" w:hAnsi="Arial" w:cs="Arial"/>
                <w:sz w:val="22"/>
                <w:szCs w:val="22"/>
              </w:rPr>
            </w:pPr>
            <w:r>
              <w:rPr>
                <w:rFonts w:ascii="Arial" w:hAnsi="Arial" w:cs="Arial"/>
                <w:spacing w:val="-2"/>
                <w:sz w:val="22"/>
                <w:szCs w:val="22"/>
              </w:rPr>
              <w:t xml:space="preserve">Un signal périodique de fréquence </w:t>
            </w:r>
            <w:r>
              <w:rPr>
                <w:rFonts w:ascii="Arial" w:hAnsi="Arial" w:cs="Arial"/>
                <w:i/>
                <w:iCs/>
                <w:spacing w:val="-2"/>
                <w:w w:val="105"/>
                <w:sz w:val="22"/>
                <w:szCs w:val="22"/>
              </w:rPr>
              <w:t>f</w:t>
            </w:r>
            <w:r>
              <w:rPr>
                <w:rFonts w:ascii="Arial" w:hAnsi="Arial" w:cs="Arial"/>
                <w:spacing w:val="-2"/>
                <w:sz w:val="22"/>
                <w:szCs w:val="22"/>
              </w:rPr>
              <w:t xml:space="preserve"> se décompose </w:t>
            </w:r>
            <w:r>
              <w:rPr>
                <w:rFonts w:ascii="Arial" w:hAnsi="Arial" w:cs="Arial"/>
                <w:sz w:val="22"/>
                <w:szCs w:val="22"/>
              </w:rPr>
              <w:t xml:space="preserve">en une somme de signaux sinusoïdaux de </w:t>
            </w:r>
            <w:r>
              <w:rPr>
                <w:rFonts w:ascii="Arial" w:hAnsi="Arial" w:cs="Arial"/>
                <w:spacing w:val="3"/>
                <w:sz w:val="22"/>
                <w:szCs w:val="22"/>
              </w:rPr>
              <w:t xml:space="preserve">fréquences multiples de </w:t>
            </w:r>
            <w:r>
              <w:rPr>
                <w:rFonts w:ascii="Arial" w:hAnsi="Arial" w:cs="Arial"/>
                <w:i/>
                <w:iCs/>
                <w:spacing w:val="3"/>
                <w:w w:val="105"/>
                <w:sz w:val="22"/>
                <w:szCs w:val="22"/>
              </w:rPr>
              <w:t>f</w:t>
            </w:r>
            <w:r>
              <w:rPr>
                <w:rFonts w:ascii="Arial" w:hAnsi="Arial" w:cs="Arial"/>
                <w:spacing w:val="3"/>
                <w:sz w:val="22"/>
                <w:szCs w:val="22"/>
              </w:rPr>
              <w:t xml:space="preserve">. Le son associé à ce </w:t>
            </w:r>
            <w:r>
              <w:rPr>
                <w:rFonts w:ascii="Arial" w:hAnsi="Arial" w:cs="Arial"/>
                <w:sz w:val="22"/>
                <w:szCs w:val="22"/>
              </w:rPr>
              <w:t>signal est un son composé.</w:t>
            </w:r>
          </w:p>
          <w:p w14:paraId="5995E7B8" w14:textId="77777777" w:rsidR="00455303" w:rsidRDefault="00455303" w:rsidP="00C57E33">
            <w:pPr>
              <w:ind w:left="36" w:right="36"/>
              <w:jc w:val="both"/>
              <w:rPr>
                <w:rFonts w:ascii="Arial" w:hAnsi="Arial" w:cs="Arial"/>
                <w:sz w:val="22"/>
                <w:szCs w:val="22"/>
              </w:rPr>
            </w:pPr>
            <w:proofErr w:type="gramStart"/>
            <w:r>
              <w:rPr>
                <w:rFonts w:ascii="Arial" w:hAnsi="Arial" w:cs="Arial"/>
                <w:i/>
                <w:iCs/>
                <w:spacing w:val="-5"/>
                <w:w w:val="105"/>
                <w:sz w:val="22"/>
                <w:szCs w:val="22"/>
              </w:rPr>
              <w:t>f</w:t>
            </w:r>
            <w:proofErr w:type="gramEnd"/>
            <w:r>
              <w:rPr>
                <w:rFonts w:ascii="Arial" w:hAnsi="Arial" w:cs="Arial"/>
                <w:spacing w:val="-5"/>
                <w:sz w:val="22"/>
                <w:szCs w:val="22"/>
              </w:rPr>
              <w:t xml:space="preserve"> est appelée fréquence fondamentale, les autres </w:t>
            </w:r>
            <w:r>
              <w:rPr>
                <w:rFonts w:ascii="Arial" w:hAnsi="Arial" w:cs="Arial"/>
                <w:sz w:val="22"/>
                <w:szCs w:val="22"/>
              </w:rPr>
              <w:t>fréquences sont appelées harmoniques.</w:t>
            </w:r>
          </w:p>
          <w:p w14:paraId="035AF526" w14:textId="66E75655" w:rsidR="00455303" w:rsidRPr="00C00448" w:rsidRDefault="00455303" w:rsidP="00C57E33">
            <w:pPr>
              <w:rPr>
                <w:rFonts w:ascii="Arial" w:hAnsi="Arial" w:cs="Arial"/>
              </w:rPr>
            </w:pPr>
            <w:r>
              <w:rPr>
                <w:rFonts w:ascii="Arial" w:hAnsi="Arial" w:cs="Arial"/>
                <w:spacing w:val="-3"/>
                <w:sz w:val="22"/>
                <w:szCs w:val="22"/>
              </w:rPr>
              <w:t xml:space="preserve">La puissance par unité de surface transportée par </w:t>
            </w:r>
            <w:r>
              <w:rPr>
                <w:rFonts w:ascii="Arial" w:hAnsi="Arial" w:cs="Arial"/>
                <w:spacing w:val="-1"/>
                <w:sz w:val="22"/>
                <w:szCs w:val="22"/>
              </w:rPr>
              <w:t xml:space="preserve">une onde sonore est quantifiée par son intensité. </w:t>
            </w:r>
            <w:r>
              <w:rPr>
                <w:rFonts w:ascii="Arial" w:hAnsi="Arial" w:cs="Arial"/>
                <w:sz w:val="22"/>
                <w:szCs w:val="22"/>
              </w:rPr>
              <w:t xml:space="preserve">Son niveau </w:t>
            </w:r>
            <w:r>
              <w:rPr>
                <w:rFonts w:ascii="Arial" w:hAnsi="Arial" w:cs="Arial"/>
                <w:sz w:val="22"/>
                <w:szCs w:val="22"/>
              </w:rPr>
              <w:lastRenderedPageBreak/>
              <w:t>d’intensité sonore est exprimé en décibels selon une échelle logarithmique</w:t>
            </w:r>
          </w:p>
        </w:tc>
        <w:tc>
          <w:tcPr>
            <w:tcW w:w="2799" w:type="dxa"/>
          </w:tcPr>
          <w:p w14:paraId="02D22640" w14:textId="77777777" w:rsidR="00455303" w:rsidRDefault="00455303" w:rsidP="00C57E33">
            <w:pPr>
              <w:spacing w:before="612"/>
              <w:ind w:right="168"/>
              <w:jc w:val="both"/>
              <w:rPr>
                <w:rFonts w:ascii="Arial" w:hAnsi="Arial" w:cs="Arial"/>
                <w:sz w:val="22"/>
                <w:szCs w:val="22"/>
              </w:rPr>
            </w:pPr>
            <w:r>
              <w:rPr>
                <w:rFonts w:ascii="Arial" w:hAnsi="Arial" w:cs="Arial"/>
                <w:spacing w:val="-5"/>
                <w:sz w:val="22"/>
                <w:szCs w:val="22"/>
              </w:rPr>
              <w:lastRenderedPageBreak/>
              <w:t xml:space="preserve">Utiliser un logiciel permettant de </w:t>
            </w:r>
            <w:r>
              <w:rPr>
                <w:rFonts w:ascii="Arial" w:hAnsi="Arial" w:cs="Arial"/>
                <w:sz w:val="22"/>
                <w:szCs w:val="22"/>
              </w:rPr>
              <w:t>visualiser le spectre d’un son.</w:t>
            </w:r>
          </w:p>
          <w:p w14:paraId="5312065E" w14:textId="77777777" w:rsidR="00455303" w:rsidRDefault="00455303" w:rsidP="00C57E33">
            <w:pPr>
              <w:spacing w:before="36"/>
              <w:ind w:left="36" w:right="168"/>
              <w:jc w:val="both"/>
              <w:rPr>
                <w:rFonts w:ascii="Arial" w:hAnsi="Arial" w:cs="Arial"/>
                <w:sz w:val="22"/>
                <w:szCs w:val="22"/>
              </w:rPr>
            </w:pPr>
            <w:r>
              <w:rPr>
                <w:rFonts w:ascii="Arial" w:hAnsi="Arial" w:cs="Arial"/>
                <w:spacing w:val="-5"/>
                <w:sz w:val="22"/>
                <w:szCs w:val="22"/>
              </w:rPr>
              <w:t xml:space="preserve">Utiliser un logiciel pour produire des </w:t>
            </w:r>
            <w:r>
              <w:rPr>
                <w:rFonts w:ascii="Arial" w:hAnsi="Arial" w:cs="Arial"/>
                <w:sz w:val="22"/>
                <w:szCs w:val="22"/>
              </w:rPr>
              <w:t>sons purs et composés.</w:t>
            </w:r>
          </w:p>
          <w:p w14:paraId="754B4A57" w14:textId="758B28ED" w:rsidR="00455303" w:rsidRPr="00C00448" w:rsidRDefault="00455303" w:rsidP="00C57E33">
            <w:pPr>
              <w:rPr>
                <w:rFonts w:ascii="Arial" w:hAnsi="Arial" w:cs="Arial"/>
              </w:rPr>
            </w:pPr>
            <w:r>
              <w:rPr>
                <w:rFonts w:ascii="Arial" w:hAnsi="Arial" w:cs="Arial"/>
                <w:spacing w:val="-5"/>
                <w:sz w:val="22"/>
                <w:szCs w:val="22"/>
              </w:rPr>
              <w:t xml:space="preserve">Relier puissance sonore par unité de </w:t>
            </w:r>
            <w:r>
              <w:rPr>
                <w:rFonts w:ascii="Arial" w:hAnsi="Arial" w:cs="Arial"/>
                <w:spacing w:val="-2"/>
                <w:sz w:val="22"/>
                <w:szCs w:val="22"/>
              </w:rPr>
              <w:t xml:space="preserve">surface et niveau d’intensité sonore </w:t>
            </w:r>
            <w:r>
              <w:rPr>
                <w:rFonts w:ascii="Arial" w:hAnsi="Arial" w:cs="Arial"/>
                <w:sz w:val="22"/>
                <w:szCs w:val="22"/>
              </w:rPr>
              <w:t>exprimé en décibels.</w:t>
            </w:r>
          </w:p>
        </w:tc>
        <w:tc>
          <w:tcPr>
            <w:tcW w:w="2799" w:type="dxa"/>
            <w:vMerge w:val="restart"/>
            <w:shd w:val="clear" w:color="auto" w:fill="BDD6EE" w:themeFill="accent5" w:themeFillTint="66"/>
          </w:tcPr>
          <w:p w14:paraId="76AE08B3" w14:textId="77777777" w:rsidR="00455303" w:rsidRPr="00FA3286" w:rsidRDefault="00455303" w:rsidP="00C57E33">
            <w:pPr>
              <w:rPr>
                <w:rFonts w:ascii="Cambria" w:hAnsi="Cambria" w:cstheme="minorHAnsi"/>
                <w:b/>
                <w:color w:val="000000" w:themeColor="text1"/>
              </w:rPr>
            </w:pPr>
            <w:r w:rsidRPr="00FA3286">
              <w:rPr>
                <w:rFonts w:ascii="Cambria" w:hAnsi="Cambria" w:cstheme="minorHAnsi"/>
                <w:b/>
                <w:color w:val="000000" w:themeColor="text1"/>
              </w:rPr>
              <w:t>Physique chimie :</w:t>
            </w:r>
          </w:p>
          <w:p w14:paraId="0D90BDEE" w14:textId="77777777" w:rsidR="00455303" w:rsidRPr="00FA3286" w:rsidRDefault="00455303" w:rsidP="00C57E33">
            <w:pPr>
              <w:rPr>
                <w:rFonts w:ascii="Cambria" w:hAnsi="Cambria" w:cstheme="minorHAnsi"/>
                <w:color w:val="000000" w:themeColor="text1"/>
              </w:rPr>
            </w:pPr>
            <w:r w:rsidRPr="00FA3286">
              <w:rPr>
                <w:rFonts w:ascii="Cambria" w:hAnsi="Cambria" w:cstheme="minorHAnsi"/>
                <w:color w:val="000000" w:themeColor="text1"/>
              </w:rPr>
              <w:t>Définir et déterminer la période et la fréquence d’un signal sonore notamment à partir de sa représentation temporelle.</w:t>
            </w:r>
          </w:p>
          <w:p w14:paraId="04D31387" w14:textId="77777777" w:rsidR="00455303" w:rsidRPr="00FA3286" w:rsidRDefault="00455303" w:rsidP="00C57E33">
            <w:pPr>
              <w:rPr>
                <w:rFonts w:ascii="Cambria" w:hAnsi="Cambria" w:cstheme="minorHAnsi"/>
                <w:color w:val="000000" w:themeColor="text1"/>
              </w:rPr>
            </w:pPr>
          </w:p>
          <w:p w14:paraId="30A0E122" w14:textId="77777777" w:rsidR="00455303" w:rsidRPr="00FA3286" w:rsidRDefault="00455303" w:rsidP="00C57E33">
            <w:pPr>
              <w:rPr>
                <w:rFonts w:ascii="Cambria" w:hAnsi="Cambria" w:cstheme="minorHAnsi"/>
                <w:color w:val="000000" w:themeColor="text1"/>
              </w:rPr>
            </w:pPr>
            <w:r w:rsidRPr="00FA3286">
              <w:rPr>
                <w:rFonts w:ascii="Cambria" w:hAnsi="Cambria" w:cstheme="minorHAnsi"/>
                <w:color w:val="000000" w:themeColor="text1"/>
              </w:rPr>
              <w:t>Relation période-fréquence (T=1/f).</w:t>
            </w:r>
          </w:p>
          <w:p w14:paraId="26E9ACF2" w14:textId="77777777" w:rsidR="00455303" w:rsidRPr="00FA3286" w:rsidRDefault="00455303" w:rsidP="00C57E33">
            <w:pPr>
              <w:rPr>
                <w:rFonts w:ascii="Cambria" w:hAnsi="Cambria" w:cstheme="minorHAnsi"/>
                <w:color w:val="000000" w:themeColor="text1"/>
              </w:rPr>
            </w:pPr>
          </w:p>
          <w:p w14:paraId="6D380A9C" w14:textId="24EB1A18" w:rsidR="00455303" w:rsidRPr="00FA3286" w:rsidRDefault="3B1F6B6C" w:rsidP="3B1F6B6C">
            <w:pPr>
              <w:rPr>
                <w:rFonts w:ascii="Cambria" w:hAnsi="Cambria"/>
              </w:rPr>
            </w:pPr>
            <w:r w:rsidRPr="3B1F6B6C">
              <w:rPr>
                <w:rFonts w:ascii="Cambria" w:hAnsi="Cambria" w:cstheme="minorBidi"/>
                <w:color w:val="000000" w:themeColor="text1"/>
              </w:rPr>
              <w:t>Relier qualitativement intensité sonore et niveau d’intensité sonore.</w:t>
            </w:r>
          </w:p>
          <w:p w14:paraId="55D66C04" w14:textId="4DD1D285" w:rsidR="00455303" w:rsidRPr="00FA3286" w:rsidRDefault="00455303" w:rsidP="3B1F6B6C">
            <w:pPr>
              <w:rPr>
                <w:rFonts w:ascii="Cambria" w:hAnsi="Cambria" w:cstheme="minorBidi"/>
                <w:color w:val="000000" w:themeColor="text1"/>
              </w:rPr>
            </w:pPr>
          </w:p>
          <w:p w14:paraId="62B5C2AC" w14:textId="64E5C297" w:rsidR="00455303" w:rsidRPr="00FA3286" w:rsidRDefault="3B1F6B6C" w:rsidP="3B1F6B6C">
            <w:pPr>
              <w:rPr>
                <w:rFonts w:ascii="Cambria" w:hAnsi="Cambria" w:cstheme="minorBidi"/>
                <w:color w:val="000000" w:themeColor="text1"/>
              </w:rPr>
            </w:pPr>
            <w:r w:rsidRPr="3B1F6B6C">
              <w:rPr>
                <w:rFonts w:ascii="Cambria" w:hAnsi="Cambria" w:cstheme="minorBidi"/>
                <w:b/>
                <w:bCs/>
                <w:color w:val="000000" w:themeColor="text1"/>
              </w:rPr>
              <w:t xml:space="preserve">Mathématiques : </w:t>
            </w:r>
          </w:p>
          <w:p w14:paraId="7543CAFC" w14:textId="404C9B7F" w:rsidR="00455303" w:rsidRPr="00FA3286" w:rsidRDefault="3B1F6B6C" w:rsidP="3B1F6B6C">
            <w:pPr>
              <w:rPr>
                <w:rFonts w:ascii="Cambria" w:hAnsi="Cambria" w:cstheme="minorBidi"/>
                <w:b/>
                <w:bCs/>
                <w:color w:val="000000" w:themeColor="text1"/>
              </w:rPr>
            </w:pPr>
            <w:r w:rsidRPr="3B1F6B6C">
              <w:rPr>
                <w:rFonts w:ascii="Cambria" w:hAnsi="Cambria" w:cstheme="minorBidi"/>
                <w:color w:val="000000" w:themeColor="text1"/>
              </w:rPr>
              <w:t>Proportion</w:t>
            </w:r>
          </w:p>
          <w:p w14:paraId="56F66466" w14:textId="342B35AE" w:rsidR="00455303" w:rsidRPr="00FA3286" w:rsidRDefault="3B1F6B6C" w:rsidP="3B1F6B6C">
            <w:pPr>
              <w:rPr>
                <w:rFonts w:ascii="Cambria" w:hAnsi="Cambria" w:cstheme="minorBidi"/>
                <w:color w:val="000000" w:themeColor="text1"/>
              </w:rPr>
            </w:pPr>
            <w:r w:rsidRPr="3B1F6B6C">
              <w:rPr>
                <w:rFonts w:ascii="Cambria" w:hAnsi="Cambria" w:cstheme="minorBidi"/>
                <w:i/>
                <w:iCs/>
                <w:color w:val="000000" w:themeColor="text1"/>
              </w:rPr>
              <w:t>Programmation Python (module sonore)</w:t>
            </w:r>
          </w:p>
          <w:p w14:paraId="409421E4" w14:textId="650190E5" w:rsidR="00455303" w:rsidRPr="00FA3286" w:rsidRDefault="3B1F6B6C" w:rsidP="3B1F6B6C">
            <w:pPr>
              <w:rPr>
                <w:rFonts w:ascii="Cambria" w:hAnsi="Cambria" w:cstheme="minorBidi"/>
                <w:i/>
                <w:iCs/>
                <w:color w:val="000000" w:themeColor="text1"/>
              </w:rPr>
            </w:pPr>
            <w:r w:rsidRPr="3B1F6B6C">
              <w:rPr>
                <w:rFonts w:ascii="Cambria" w:hAnsi="Cambria" w:cstheme="minorBidi"/>
                <w:i/>
                <w:iCs/>
                <w:color w:val="000000" w:themeColor="text1"/>
              </w:rPr>
              <w:t>Logiciel de géométrie dynamique (construction de courbes)</w:t>
            </w:r>
          </w:p>
          <w:p w14:paraId="09E5711A" w14:textId="0861683E" w:rsidR="00455303" w:rsidRPr="00FA3286" w:rsidRDefault="3B1F6B6C" w:rsidP="3B1F6B6C">
            <w:pPr>
              <w:rPr>
                <w:rFonts w:ascii="Cambria" w:hAnsi="Cambria" w:cstheme="minorBidi"/>
                <w:i/>
                <w:iCs/>
                <w:color w:val="000000" w:themeColor="text1"/>
              </w:rPr>
            </w:pPr>
            <w:r w:rsidRPr="3B1F6B6C">
              <w:rPr>
                <w:rFonts w:ascii="Cambria" w:hAnsi="Cambria" w:cstheme="minorBidi"/>
                <w:i/>
                <w:iCs/>
                <w:color w:val="000000" w:themeColor="text1"/>
              </w:rPr>
              <w:t>Tableur</w:t>
            </w:r>
          </w:p>
          <w:p w14:paraId="35F14014" w14:textId="23261B62" w:rsidR="00455303" w:rsidRPr="00FA3286" w:rsidRDefault="00455303" w:rsidP="3B1F6B6C">
            <w:pPr>
              <w:rPr>
                <w:rFonts w:ascii="Cambria" w:hAnsi="Cambria" w:cstheme="minorBidi"/>
                <w:color w:val="000000" w:themeColor="text1"/>
              </w:rPr>
            </w:pPr>
          </w:p>
        </w:tc>
        <w:tc>
          <w:tcPr>
            <w:tcW w:w="2799" w:type="dxa"/>
            <w:vMerge w:val="restart"/>
          </w:tcPr>
          <w:p w14:paraId="27F4DEA1" w14:textId="71101AB6" w:rsidR="00455303" w:rsidRPr="00455303" w:rsidRDefault="00455303" w:rsidP="00C57E33">
            <w:pPr>
              <w:rPr>
                <w:rFonts w:ascii="Cambria" w:hAnsi="Cambria" w:cstheme="minorHAnsi"/>
                <w:sz w:val="22"/>
                <w:szCs w:val="22"/>
              </w:rPr>
            </w:pPr>
            <w:r w:rsidRPr="00455303">
              <w:rPr>
                <w:rFonts w:ascii="Cambria" w:hAnsi="Cambria" w:cstheme="minorHAnsi"/>
                <w:sz w:val="22"/>
                <w:szCs w:val="22"/>
              </w:rPr>
              <w:lastRenderedPageBreak/>
              <w:t>On fait la distinction entre son pur et son composé (fréquence fondamentale, harmoniques)</w:t>
            </w:r>
          </w:p>
          <w:p w14:paraId="780D898C" w14:textId="77777777" w:rsidR="00455303" w:rsidRPr="00455303" w:rsidRDefault="00455303" w:rsidP="00C57E33">
            <w:pPr>
              <w:rPr>
                <w:rFonts w:ascii="Cambria" w:hAnsi="Cambria" w:cstheme="minorHAnsi"/>
                <w:sz w:val="22"/>
                <w:szCs w:val="22"/>
              </w:rPr>
            </w:pPr>
          </w:p>
          <w:p w14:paraId="3A62AF81" w14:textId="68BB768D" w:rsidR="00455303" w:rsidRPr="00455303" w:rsidRDefault="00455303" w:rsidP="00C57E33">
            <w:pPr>
              <w:rPr>
                <w:rFonts w:ascii="Cambria" w:hAnsi="Cambria" w:cstheme="minorHAnsi"/>
                <w:sz w:val="22"/>
                <w:szCs w:val="22"/>
              </w:rPr>
            </w:pPr>
            <w:r w:rsidRPr="00455303">
              <w:rPr>
                <w:rFonts w:ascii="Cambria" w:hAnsi="Cambria" w:cstheme="minorHAnsi"/>
                <w:sz w:val="22"/>
                <w:szCs w:val="22"/>
              </w:rPr>
              <w:t>On opère le lien entre intensité sonore et puissance sonore par unité de surface (Formule I=P/S non exigée).</w:t>
            </w:r>
          </w:p>
          <w:p w14:paraId="76F3B436" w14:textId="77777777" w:rsidR="00455303" w:rsidRPr="00455303" w:rsidRDefault="00455303" w:rsidP="00C57E33">
            <w:pPr>
              <w:rPr>
                <w:rFonts w:ascii="Cambria" w:hAnsi="Cambria" w:cstheme="minorHAnsi"/>
                <w:sz w:val="22"/>
                <w:szCs w:val="22"/>
              </w:rPr>
            </w:pPr>
          </w:p>
          <w:p w14:paraId="468C02D2" w14:textId="77777777" w:rsidR="00455303" w:rsidRPr="00455303" w:rsidRDefault="00455303" w:rsidP="00C57E33">
            <w:pPr>
              <w:rPr>
                <w:rFonts w:ascii="Cambria" w:hAnsi="Cambria" w:cstheme="minorHAnsi"/>
                <w:sz w:val="22"/>
                <w:szCs w:val="22"/>
              </w:rPr>
            </w:pPr>
            <w:r w:rsidRPr="00455303">
              <w:rPr>
                <w:rFonts w:ascii="Cambria" w:hAnsi="Cambria" w:cstheme="minorHAnsi"/>
                <w:sz w:val="22"/>
                <w:szCs w:val="22"/>
              </w:rPr>
              <w:t>On aborde la notion d’échelle logarithmique pour l’intensité sonore (formule L = 10 log (I/I</w:t>
            </w:r>
            <w:r w:rsidRPr="00455303">
              <w:rPr>
                <w:rFonts w:ascii="Cambria" w:hAnsi="Cambria" w:cstheme="minorHAnsi"/>
                <w:sz w:val="22"/>
                <w:szCs w:val="22"/>
                <w:vertAlign w:val="subscript"/>
              </w:rPr>
              <w:t>0</w:t>
            </w:r>
            <w:r w:rsidRPr="00455303">
              <w:rPr>
                <w:rFonts w:ascii="Cambria" w:hAnsi="Cambria" w:cstheme="minorHAnsi"/>
                <w:sz w:val="22"/>
                <w:szCs w:val="22"/>
              </w:rPr>
              <w:t>) non exigée).</w:t>
            </w:r>
          </w:p>
          <w:p w14:paraId="4EAAD50E" w14:textId="77777777" w:rsidR="00455303" w:rsidRPr="00455303" w:rsidRDefault="00455303" w:rsidP="00C57E33">
            <w:pPr>
              <w:rPr>
                <w:rFonts w:ascii="Cambria" w:hAnsi="Cambria"/>
                <w:sz w:val="22"/>
                <w:szCs w:val="22"/>
              </w:rPr>
            </w:pPr>
          </w:p>
          <w:p w14:paraId="36427C18" w14:textId="75695DA5" w:rsidR="00455303" w:rsidRPr="00455303" w:rsidRDefault="00455303" w:rsidP="00F22E8D">
            <w:pPr>
              <w:rPr>
                <w:rFonts w:ascii="Cambria" w:hAnsi="Cambria"/>
                <w:sz w:val="22"/>
                <w:szCs w:val="22"/>
              </w:rPr>
            </w:pPr>
            <w:r w:rsidRPr="00455303">
              <w:rPr>
                <w:rFonts w:ascii="Cambria" w:hAnsi="Cambria" w:cstheme="minorHAnsi"/>
                <w:sz w:val="22"/>
                <w:szCs w:val="22"/>
              </w:rPr>
              <w:t>On étudie le lien entre les caractéristiques d’un système vibrant et la fréquence fondamentale du son émis.</w:t>
            </w:r>
          </w:p>
        </w:tc>
        <w:tc>
          <w:tcPr>
            <w:tcW w:w="2799" w:type="dxa"/>
            <w:vMerge w:val="restart"/>
          </w:tcPr>
          <w:p w14:paraId="71A0428A" w14:textId="77777777" w:rsidR="00455303" w:rsidRPr="00FA3286" w:rsidRDefault="00455303" w:rsidP="00C57E33">
            <w:pPr>
              <w:rPr>
                <w:rFonts w:ascii="Cambria" w:hAnsi="Cambria"/>
                <w:sz w:val="22"/>
                <w:szCs w:val="22"/>
              </w:rPr>
            </w:pPr>
            <w:r w:rsidRPr="00FA3286">
              <w:rPr>
                <w:rFonts w:ascii="Cambria" w:hAnsi="Cambria"/>
                <w:b/>
                <w:sz w:val="22"/>
                <w:szCs w:val="22"/>
              </w:rPr>
              <w:lastRenderedPageBreak/>
              <w:t>Physique-chimie</w:t>
            </w:r>
            <w:r w:rsidRPr="00FA3286">
              <w:rPr>
                <w:rFonts w:ascii="Cambria" w:hAnsi="Cambria"/>
                <w:sz w:val="22"/>
                <w:szCs w:val="22"/>
              </w:rPr>
              <w:t> :</w:t>
            </w:r>
          </w:p>
          <w:p w14:paraId="2B62957C" w14:textId="77777777" w:rsidR="00455303" w:rsidRPr="00FA3286" w:rsidRDefault="00455303" w:rsidP="00FA3286">
            <w:pPr>
              <w:rPr>
                <w:rFonts w:ascii="Cambria" w:hAnsi="Cambria"/>
                <w:sz w:val="22"/>
                <w:szCs w:val="22"/>
              </w:rPr>
            </w:pPr>
            <w:r w:rsidRPr="00FA3286">
              <w:rPr>
                <w:rFonts w:ascii="Cambria" w:hAnsi="Cambria"/>
                <w:sz w:val="22"/>
                <w:szCs w:val="22"/>
              </w:rPr>
              <w:t>Onde mécanique progressive.</w:t>
            </w:r>
          </w:p>
          <w:p w14:paraId="6EC03DC7" w14:textId="77777777" w:rsidR="00455303" w:rsidRPr="00FA3286" w:rsidRDefault="00455303" w:rsidP="00FA3286">
            <w:pPr>
              <w:rPr>
                <w:rFonts w:ascii="Cambria" w:hAnsi="Cambria"/>
                <w:sz w:val="22"/>
                <w:szCs w:val="22"/>
              </w:rPr>
            </w:pPr>
            <w:r w:rsidRPr="00FA3286">
              <w:rPr>
                <w:rFonts w:ascii="Cambria" w:hAnsi="Cambria"/>
                <w:sz w:val="22"/>
                <w:szCs w:val="22"/>
              </w:rPr>
              <w:t>Grandeurs physiques associées</w:t>
            </w:r>
          </w:p>
          <w:p w14:paraId="2326CF29" w14:textId="77777777" w:rsidR="00455303" w:rsidRPr="00FA3286" w:rsidRDefault="00455303" w:rsidP="00FA3286">
            <w:pPr>
              <w:rPr>
                <w:rFonts w:ascii="Cambria" w:hAnsi="Cambria"/>
                <w:sz w:val="22"/>
                <w:szCs w:val="22"/>
              </w:rPr>
            </w:pPr>
            <w:r w:rsidRPr="00FA3286">
              <w:rPr>
                <w:rFonts w:ascii="Cambria" w:hAnsi="Cambria"/>
                <w:sz w:val="22"/>
                <w:szCs w:val="22"/>
              </w:rPr>
              <w:t>Décrire, dans le cas d’une onde mécanique progressive, la propagation d'une perturbation mécanique d'un milieu dans l'espace et au cours du temps : houle, ondes sismiques, ondes sonores, etc.</w:t>
            </w:r>
          </w:p>
          <w:p w14:paraId="367D4F5E" w14:textId="22E62D64" w:rsidR="00455303" w:rsidRPr="00FA3286" w:rsidRDefault="3B1F6B6C" w:rsidP="00FA3286">
            <w:pPr>
              <w:rPr>
                <w:rFonts w:ascii="Cambria" w:hAnsi="Cambria"/>
                <w:sz w:val="22"/>
                <w:szCs w:val="22"/>
              </w:rPr>
            </w:pPr>
            <w:r w:rsidRPr="3B1F6B6C">
              <w:rPr>
                <w:rFonts w:ascii="Cambria" w:hAnsi="Cambria"/>
                <w:sz w:val="22"/>
                <w:szCs w:val="22"/>
              </w:rPr>
              <w:t xml:space="preserve">Expliquer, à l’aide d’un modèle qualitatif, la </w:t>
            </w:r>
            <w:r w:rsidRPr="3B1F6B6C">
              <w:rPr>
                <w:rFonts w:ascii="Cambria" w:hAnsi="Cambria"/>
                <w:sz w:val="22"/>
                <w:szCs w:val="22"/>
              </w:rPr>
              <w:lastRenderedPageBreak/>
              <w:t>propagation d'une perturbation mécanique dans un milieu matériel.</w:t>
            </w:r>
          </w:p>
          <w:p w14:paraId="7A4066F6" w14:textId="3AD90274" w:rsidR="3B1F6B6C" w:rsidRDefault="3B1F6B6C" w:rsidP="3B1F6B6C">
            <w:pPr>
              <w:rPr>
                <w:b/>
                <w:bCs/>
              </w:rPr>
            </w:pPr>
          </w:p>
          <w:p w14:paraId="06BA0BB4" w14:textId="2C1B9D63" w:rsidR="00455303" w:rsidRDefault="3B1F6B6C" w:rsidP="00FA3286">
            <w:r w:rsidRPr="3B1F6B6C">
              <w:rPr>
                <w:b/>
                <w:bCs/>
              </w:rPr>
              <w:t>Mathématiques :</w:t>
            </w:r>
          </w:p>
          <w:p w14:paraId="2F9F689B" w14:textId="58A00DC0" w:rsidR="00455303" w:rsidRDefault="3B1F6B6C" w:rsidP="3B1F6B6C">
            <w:pPr>
              <w:rPr>
                <w:b/>
                <w:bCs/>
              </w:rPr>
            </w:pPr>
            <w:r>
              <w:t>Fonctions sinus et cosinus (parité, périodicité).</w:t>
            </w:r>
          </w:p>
        </w:tc>
      </w:tr>
      <w:tr w:rsidR="00455303" w14:paraId="67F6482E" w14:textId="77777777" w:rsidTr="00DA0F2D">
        <w:tc>
          <w:tcPr>
            <w:tcW w:w="3370" w:type="dxa"/>
          </w:tcPr>
          <w:p w14:paraId="00BB4352" w14:textId="77777777" w:rsidR="00455303" w:rsidRPr="00F22E8D" w:rsidRDefault="00455303" w:rsidP="00F22E8D">
            <w:pPr>
              <w:pStyle w:val="Default"/>
              <w:rPr>
                <w:sz w:val="22"/>
                <w:szCs w:val="22"/>
              </w:rPr>
            </w:pPr>
            <w:r w:rsidRPr="00F22E8D">
              <w:rPr>
                <w:sz w:val="22"/>
                <w:szCs w:val="22"/>
              </w:rPr>
              <w:lastRenderedPageBreak/>
              <w:t xml:space="preserve">Une corde tendue émet en vibrant un son composé dont la fréquence fondamentale ne dépend que de ses caractéristiques (longueur, tension, masse linéique). </w:t>
            </w:r>
          </w:p>
          <w:p w14:paraId="7CCF9289" w14:textId="2B124162" w:rsidR="00455303" w:rsidRPr="00F22E8D" w:rsidRDefault="00455303" w:rsidP="00F22E8D">
            <w:pPr>
              <w:spacing w:before="72"/>
              <w:ind w:left="36" w:right="36"/>
              <w:jc w:val="both"/>
              <w:rPr>
                <w:rFonts w:ascii="Arial" w:hAnsi="Arial" w:cs="Arial"/>
                <w:spacing w:val="-5"/>
                <w:sz w:val="22"/>
                <w:szCs w:val="22"/>
              </w:rPr>
            </w:pPr>
            <w:r w:rsidRPr="00F22E8D">
              <w:rPr>
                <w:rFonts w:ascii="Arial" w:hAnsi="Arial" w:cs="Arial"/>
                <w:sz w:val="22"/>
                <w:szCs w:val="22"/>
              </w:rPr>
              <w:t xml:space="preserve">Dans les instruments à vent, un phénomène analogue se produit par vibration de l’air dans un tuyau. </w:t>
            </w:r>
          </w:p>
        </w:tc>
        <w:tc>
          <w:tcPr>
            <w:tcW w:w="2799" w:type="dxa"/>
          </w:tcPr>
          <w:p w14:paraId="42358473" w14:textId="766326F7" w:rsidR="00455303" w:rsidRPr="00F22E8D" w:rsidRDefault="00455303" w:rsidP="00F22E8D">
            <w:pPr>
              <w:spacing w:before="612"/>
              <w:ind w:right="168"/>
              <w:jc w:val="both"/>
              <w:rPr>
                <w:rFonts w:ascii="Arial" w:hAnsi="Arial" w:cs="Arial"/>
                <w:spacing w:val="-5"/>
                <w:sz w:val="22"/>
                <w:szCs w:val="22"/>
              </w:rPr>
            </w:pPr>
            <w:r w:rsidRPr="00F22E8D">
              <w:rPr>
                <w:rFonts w:ascii="Arial" w:hAnsi="Arial" w:cs="Arial"/>
                <w:sz w:val="22"/>
                <w:szCs w:val="22"/>
              </w:rPr>
              <w:t xml:space="preserve">Relier qualitativement la fréquence fondamentale du signal émis et la longueur d’une corde vibrante. </w:t>
            </w:r>
          </w:p>
        </w:tc>
        <w:tc>
          <w:tcPr>
            <w:tcW w:w="2799" w:type="dxa"/>
            <w:vMerge/>
          </w:tcPr>
          <w:p w14:paraId="1A26F696" w14:textId="77777777" w:rsidR="00455303" w:rsidRPr="00024674" w:rsidRDefault="00455303" w:rsidP="00F22E8D">
            <w:pPr>
              <w:rPr>
                <w:rFonts w:asciiTheme="minorHAnsi" w:hAnsiTheme="minorHAnsi" w:cstheme="minorHAnsi"/>
                <w:b/>
                <w:color w:val="000000" w:themeColor="text1"/>
              </w:rPr>
            </w:pPr>
          </w:p>
        </w:tc>
        <w:tc>
          <w:tcPr>
            <w:tcW w:w="2799" w:type="dxa"/>
            <w:vMerge/>
          </w:tcPr>
          <w:p w14:paraId="63CEA4EB" w14:textId="43168A88" w:rsidR="00455303" w:rsidRDefault="00455303" w:rsidP="00F22E8D">
            <w:pPr>
              <w:rPr>
                <w:rFonts w:asciiTheme="minorHAnsi" w:hAnsiTheme="minorHAnsi" w:cstheme="minorHAnsi"/>
              </w:rPr>
            </w:pPr>
          </w:p>
        </w:tc>
        <w:tc>
          <w:tcPr>
            <w:tcW w:w="2799" w:type="dxa"/>
            <w:vMerge/>
          </w:tcPr>
          <w:p w14:paraId="0999AFB4" w14:textId="77777777" w:rsidR="00455303" w:rsidRDefault="00455303" w:rsidP="00F22E8D"/>
        </w:tc>
      </w:tr>
      <w:tr w:rsidR="00F22E8D" w:rsidRPr="00F22E8D" w14:paraId="11521E43" w14:textId="77777777" w:rsidTr="00DA0F2D">
        <w:trPr>
          <w:trHeight w:val="757"/>
        </w:trPr>
        <w:tc>
          <w:tcPr>
            <w:tcW w:w="14566" w:type="dxa"/>
            <w:gridSpan w:val="5"/>
          </w:tcPr>
          <w:p w14:paraId="3A84E7A0" w14:textId="77777777" w:rsidR="00F22E8D" w:rsidRPr="00F22E8D" w:rsidRDefault="00F22E8D" w:rsidP="00F22E8D">
            <w:pPr>
              <w:widowControl/>
              <w:kinsoku/>
              <w:autoSpaceDE w:val="0"/>
              <w:autoSpaceDN w:val="0"/>
              <w:adjustRightInd w:val="0"/>
              <w:rPr>
                <w:rFonts w:ascii="Arial" w:eastAsiaTheme="minorHAnsi" w:hAnsi="Arial" w:cs="Arial"/>
                <w:color w:val="000000"/>
                <w:sz w:val="22"/>
                <w:szCs w:val="22"/>
                <w:lang w:eastAsia="en-US"/>
              </w:rPr>
            </w:pPr>
            <w:r w:rsidRPr="00F22E8D">
              <w:rPr>
                <w:rFonts w:ascii="Arial" w:eastAsiaTheme="minorHAnsi" w:hAnsi="Arial" w:cs="Arial"/>
                <w:b/>
                <w:bCs/>
                <w:color w:val="000000"/>
                <w:sz w:val="22"/>
                <w:szCs w:val="22"/>
                <w:lang w:eastAsia="en-US"/>
              </w:rPr>
              <w:t xml:space="preserve">Prérequis et limites </w:t>
            </w:r>
          </w:p>
          <w:p w14:paraId="17B6CABB" w14:textId="77777777" w:rsidR="00F22E8D" w:rsidRPr="00F22E8D" w:rsidRDefault="00F22E8D" w:rsidP="00F22E8D">
            <w:pPr>
              <w:widowControl/>
              <w:kinsoku/>
              <w:autoSpaceDE w:val="0"/>
              <w:autoSpaceDN w:val="0"/>
              <w:adjustRightInd w:val="0"/>
              <w:rPr>
                <w:rFonts w:ascii="Arial" w:eastAsiaTheme="minorHAnsi" w:hAnsi="Arial" w:cs="Arial"/>
                <w:color w:val="000000"/>
                <w:sz w:val="22"/>
                <w:szCs w:val="22"/>
                <w:lang w:eastAsia="en-US"/>
              </w:rPr>
            </w:pPr>
            <w:r w:rsidRPr="00F22E8D">
              <w:rPr>
                <w:rFonts w:ascii="Arial" w:eastAsiaTheme="minorHAnsi" w:hAnsi="Arial" w:cs="Arial"/>
                <w:color w:val="000000"/>
                <w:sz w:val="22"/>
                <w:szCs w:val="22"/>
                <w:lang w:eastAsia="en-US"/>
              </w:rPr>
              <w:t xml:space="preserve">Les notions de son et de fréquence, déjà connues des élèves, sont remobilisées. </w:t>
            </w:r>
          </w:p>
          <w:p w14:paraId="5A8C2719" w14:textId="77777777" w:rsidR="00F22E8D" w:rsidRPr="00F22E8D" w:rsidRDefault="00F22E8D" w:rsidP="00F22E8D">
            <w:pPr>
              <w:widowControl/>
              <w:kinsoku/>
              <w:autoSpaceDE w:val="0"/>
              <w:autoSpaceDN w:val="0"/>
              <w:adjustRightInd w:val="0"/>
              <w:rPr>
                <w:rFonts w:ascii="Arial" w:eastAsiaTheme="minorHAnsi" w:hAnsi="Arial" w:cs="Arial"/>
                <w:color w:val="000000"/>
                <w:sz w:val="22"/>
                <w:szCs w:val="22"/>
                <w:lang w:eastAsia="en-US"/>
              </w:rPr>
            </w:pPr>
            <w:r w:rsidRPr="00F22E8D">
              <w:rPr>
                <w:rFonts w:ascii="Arial" w:eastAsiaTheme="minorHAnsi" w:hAnsi="Arial" w:cs="Arial"/>
                <w:color w:val="000000"/>
                <w:sz w:val="22"/>
                <w:szCs w:val="22"/>
                <w:lang w:eastAsia="en-US"/>
              </w:rPr>
              <w:t xml:space="preserve">La sinusoïde est définie à partir de sa représentation graphique. Aucune construction mathématique de la fonction n’est attendue. </w:t>
            </w:r>
          </w:p>
          <w:p w14:paraId="4DC4C8A4" w14:textId="77777777" w:rsidR="00F22E8D" w:rsidRPr="00F22E8D" w:rsidRDefault="00F22E8D" w:rsidP="00F22E8D">
            <w:pPr>
              <w:widowControl/>
              <w:kinsoku/>
              <w:autoSpaceDE w:val="0"/>
              <w:autoSpaceDN w:val="0"/>
              <w:adjustRightInd w:val="0"/>
              <w:rPr>
                <w:rFonts w:ascii="Arial" w:eastAsiaTheme="minorHAnsi" w:hAnsi="Arial" w:cs="Arial"/>
                <w:color w:val="000000"/>
                <w:sz w:val="22"/>
                <w:szCs w:val="22"/>
                <w:lang w:eastAsia="en-US"/>
              </w:rPr>
            </w:pPr>
            <w:r w:rsidRPr="00F22E8D">
              <w:rPr>
                <w:rFonts w:ascii="Arial" w:eastAsiaTheme="minorHAnsi" w:hAnsi="Arial" w:cs="Arial"/>
                <w:color w:val="000000"/>
                <w:sz w:val="22"/>
                <w:szCs w:val="22"/>
                <w:lang w:eastAsia="en-US"/>
              </w:rPr>
              <w:t xml:space="preserve">La formule donnant la fréquence fondamentale d’une corde vibrante en fonction de ses caractéristiques n’est pas exigible. </w:t>
            </w:r>
          </w:p>
        </w:tc>
      </w:tr>
      <w:tr w:rsidR="00C57E33" w14:paraId="4567D1D8" w14:textId="77777777" w:rsidTr="00DA0F2D">
        <w:tc>
          <w:tcPr>
            <w:tcW w:w="14566" w:type="dxa"/>
            <w:gridSpan w:val="5"/>
          </w:tcPr>
          <w:p w14:paraId="6926D8F6" w14:textId="1826419E" w:rsidR="00C57E33" w:rsidRPr="00C40794" w:rsidRDefault="00C40794" w:rsidP="3B1F6B6C">
            <w:pPr>
              <w:spacing w:before="72"/>
              <w:rPr>
                <w:rFonts w:ascii="Arial" w:hAnsi="Arial" w:cs="Arial"/>
                <w:b/>
                <w:bCs/>
                <w:color w:val="17818E"/>
                <w:sz w:val="22"/>
                <w:szCs w:val="22"/>
              </w:rPr>
            </w:pPr>
            <w:r>
              <w:rPr>
                <w:rFonts w:ascii="Arial" w:hAnsi="Arial" w:cs="Arial"/>
                <w:b/>
                <w:bCs/>
                <w:color w:val="17818E"/>
                <w:spacing w:val="-4"/>
                <w:w w:val="105"/>
                <w:sz w:val="22"/>
                <w:szCs w:val="22"/>
              </w:rPr>
              <w:t xml:space="preserve">4.2 </w:t>
            </w:r>
            <w:r w:rsidR="3B1F6B6C" w:rsidRPr="3B1F6B6C">
              <w:rPr>
                <w:rFonts w:ascii="Arial" w:hAnsi="Arial" w:cs="Arial"/>
                <w:b/>
                <w:bCs/>
                <w:color w:val="17818E"/>
                <w:sz w:val="22"/>
                <w:szCs w:val="22"/>
              </w:rPr>
              <w:t xml:space="preserve">– </w:t>
            </w:r>
            <w:r>
              <w:rPr>
                <w:rFonts w:ascii="Arial" w:hAnsi="Arial" w:cs="Arial"/>
                <w:b/>
                <w:bCs/>
                <w:color w:val="17818E"/>
                <w:spacing w:val="-4"/>
                <w:w w:val="105"/>
                <w:sz w:val="22"/>
                <w:szCs w:val="22"/>
              </w:rPr>
              <w:t>La musique ou l’art de faire entendre les nombres</w:t>
            </w:r>
          </w:p>
          <w:tbl>
            <w:tblPr>
              <w:tblW w:w="0" w:type="auto"/>
              <w:tblBorders>
                <w:top w:val="nil"/>
                <w:left w:val="nil"/>
                <w:bottom w:val="nil"/>
                <w:right w:val="nil"/>
              </w:tblBorders>
              <w:tblLayout w:type="fixed"/>
              <w:tblLook w:val="0000" w:firstRow="0" w:lastRow="0" w:firstColumn="0" w:lastColumn="0" w:noHBand="0" w:noVBand="0"/>
            </w:tblPr>
            <w:tblGrid>
              <w:gridCol w:w="14350"/>
            </w:tblGrid>
            <w:tr w:rsidR="00C40794" w:rsidRPr="00C40794" w14:paraId="6E4FF9EA" w14:textId="77777777" w:rsidTr="00DA0F2D">
              <w:trPr>
                <w:trHeight w:val="765"/>
              </w:trPr>
              <w:tc>
                <w:tcPr>
                  <w:tcW w:w="14350" w:type="dxa"/>
                </w:tcPr>
                <w:p w14:paraId="1DFB44C1" w14:textId="77777777" w:rsidR="00C40794" w:rsidRPr="00C40794" w:rsidRDefault="00C40794" w:rsidP="00C40794">
                  <w:pPr>
                    <w:widowControl/>
                    <w:kinsoku/>
                    <w:autoSpaceDE w:val="0"/>
                    <w:autoSpaceDN w:val="0"/>
                    <w:adjustRightInd w:val="0"/>
                    <w:rPr>
                      <w:rFonts w:ascii="Arial" w:eastAsiaTheme="minorHAnsi" w:hAnsi="Arial" w:cs="Arial"/>
                      <w:color w:val="000000"/>
                      <w:sz w:val="22"/>
                      <w:szCs w:val="22"/>
                      <w:lang w:eastAsia="en-US"/>
                    </w:rPr>
                  </w:pPr>
                  <w:r w:rsidRPr="00C40794">
                    <w:rPr>
                      <w:rFonts w:ascii="Arial" w:eastAsiaTheme="minorHAnsi" w:hAnsi="Arial" w:cs="Arial"/>
                      <w:color w:val="000000"/>
                      <w:sz w:val="22"/>
                      <w:szCs w:val="22"/>
                      <w:lang w:eastAsia="en-US"/>
                    </w:rPr>
                    <w:t xml:space="preserve">Comment l’analyse mathématique du phénomène vibratoire du son aboutit-elle à une production artistique ? </w:t>
                  </w:r>
                </w:p>
                <w:p w14:paraId="4B89535D" w14:textId="77777777" w:rsidR="00C40794" w:rsidRPr="00C40794" w:rsidRDefault="00C40794" w:rsidP="00C40794">
                  <w:pPr>
                    <w:widowControl/>
                    <w:kinsoku/>
                    <w:autoSpaceDE w:val="0"/>
                    <w:autoSpaceDN w:val="0"/>
                    <w:adjustRightInd w:val="0"/>
                    <w:rPr>
                      <w:rFonts w:ascii="Arial" w:eastAsiaTheme="minorHAnsi" w:hAnsi="Arial" w:cs="Arial"/>
                      <w:color w:val="000000"/>
                      <w:sz w:val="22"/>
                      <w:szCs w:val="22"/>
                      <w:lang w:eastAsia="en-US"/>
                    </w:rPr>
                  </w:pPr>
                  <w:r w:rsidRPr="00C40794">
                    <w:rPr>
                      <w:rFonts w:ascii="Arial" w:eastAsiaTheme="minorHAnsi" w:hAnsi="Arial" w:cs="Arial"/>
                      <w:color w:val="000000"/>
                      <w:sz w:val="22"/>
                      <w:szCs w:val="22"/>
                      <w:lang w:eastAsia="en-US"/>
                    </w:rPr>
                    <w:t xml:space="preserve">La musique et les mathématiques sont deux langages universels. Les Grecs anciens les ont dotés d’une origine commune puisque la théorie pythagoricienne des proportions avait pour but de percer les secrets de l’harmonie musicale. Depuis, les évolutions de la musique et des mathématiques se sont enrichies mutuellement. </w:t>
                  </w:r>
                </w:p>
              </w:tc>
            </w:tr>
          </w:tbl>
          <w:p w14:paraId="125E441D" w14:textId="63577F61" w:rsidR="00C57E33" w:rsidRPr="00C00448" w:rsidRDefault="00C57E33" w:rsidP="00C57E33">
            <w:pPr>
              <w:pStyle w:val="Default"/>
              <w:rPr>
                <w:sz w:val="22"/>
                <w:szCs w:val="22"/>
              </w:rPr>
            </w:pPr>
          </w:p>
        </w:tc>
      </w:tr>
      <w:tr w:rsidR="00C57E33" w14:paraId="51D0DD4C" w14:textId="77777777" w:rsidTr="00DA0F2D">
        <w:tc>
          <w:tcPr>
            <w:tcW w:w="3370" w:type="dxa"/>
            <w:vAlign w:val="center"/>
          </w:tcPr>
          <w:p w14:paraId="3AEA25FC" w14:textId="77777777" w:rsidR="00C57E33" w:rsidRPr="00C00448" w:rsidRDefault="00C57E33" w:rsidP="00C57E33">
            <w:pPr>
              <w:pStyle w:val="Default"/>
              <w:rPr>
                <w:sz w:val="22"/>
                <w:szCs w:val="22"/>
              </w:rPr>
            </w:pPr>
            <w:r>
              <w:rPr>
                <w:b/>
                <w:bCs/>
                <w:sz w:val="22"/>
                <w:szCs w:val="22"/>
              </w:rPr>
              <w:t>Savoirs</w:t>
            </w:r>
          </w:p>
        </w:tc>
        <w:tc>
          <w:tcPr>
            <w:tcW w:w="2799" w:type="dxa"/>
            <w:vAlign w:val="center"/>
          </w:tcPr>
          <w:p w14:paraId="43BFF835" w14:textId="77777777" w:rsidR="00C57E33" w:rsidRPr="00C00448" w:rsidRDefault="00C57E33" w:rsidP="00C57E33">
            <w:pPr>
              <w:pStyle w:val="Default"/>
              <w:rPr>
                <w:sz w:val="22"/>
                <w:szCs w:val="22"/>
              </w:rPr>
            </w:pPr>
            <w:r>
              <w:rPr>
                <w:b/>
                <w:bCs/>
                <w:sz w:val="22"/>
                <w:szCs w:val="22"/>
              </w:rPr>
              <w:t>Savoir-faire</w:t>
            </w:r>
          </w:p>
        </w:tc>
        <w:tc>
          <w:tcPr>
            <w:tcW w:w="2799" w:type="dxa"/>
            <w:shd w:val="clear" w:color="auto" w:fill="BDD6EE" w:themeFill="accent5" w:themeFillTint="66"/>
          </w:tcPr>
          <w:p w14:paraId="36A1E3EB" w14:textId="77777777" w:rsidR="00C57E33" w:rsidRDefault="00C57E33" w:rsidP="00C57E33">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799" w:type="dxa"/>
          </w:tcPr>
          <w:p w14:paraId="7BB17FF7" w14:textId="77777777" w:rsidR="00C57E33" w:rsidRDefault="00C57E33" w:rsidP="00C57E33">
            <w:r w:rsidRPr="000C5D32">
              <w:rPr>
                <w:rFonts w:asciiTheme="minorHAnsi" w:hAnsiTheme="minorHAnsi" w:cstheme="minorHAnsi"/>
                <w:b/>
              </w:rPr>
              <w:t>Saut</w:t>
            </w:r>
            <w:r>
              <w:rPr>
                <w:rFonts w:asciiTheme="minorHAnsi" w:hAnsiTheme="minorHAnsi" w:cstheme="minorHAnsi"/>
                <w:b/>
              </w:rPr>
              <w:t xml:space="preserve">s </w:t>
            </w:r>
            <w:r w:rsidRPr="000C5D32">
              <w:rPr>
                <w:rFonts w:asciiTheme="minorHAnsi" w:hAnsiTheme="minorHAnsi" w:cstheme="minorHAnsi"/>
                <w:b/>
              </w:rPr>
              <w:t>conceptuel</w:t>
            </w:r>
            <w:r>
              <w:rPr>
                <w:rFonts w:asciiTheme="minorHAnsi" w:hAnsiTheme="minorHAnsi" w:cstheme="minorHAnsi"/>
                <w:b/>
              </w:rPr>
              <w:t>s</w:t>
            </w:r>
            <w:r w:rsidRPr="000C5D32">
              <w:rPr>
                <w:rFonts w:asciiTheme="minorHAnsi" w:hAnsiTheme="minorHAnsi" w:cstheme="minorHAnsi"/>
                <w:b/>
              </w:rPr>
              <w:t xml:space="preserve"> en première</w:t>
            </w:r>
          </w:p>
        </w:tc>
        <w:tc>
          <w:tcPr>
            <w:tcW w:w="2799" w:type="dxa"/>
          </w:tcPr>
          <w:p w14:paraId="63871F83" w14:textId="77777777" w:rsidR="00C57E33" w:rsidRDefault="00C57E33" w:rsidP="00C57E33">
            <w:r w:rsidRPr="007F4857">
              <w:rPr>
                <w:rFonts w:asciiTheme="minorHAnsi" w:hAnsiTheme="minorHAnsi" w:cstheme="minorHAnsi"/>
                <w:b/>
              </w:rPr>
              <w:t>Liens avec les programmes de spécialité</w:t>
            </w:r>
          </w:p>
        </w:tc>
      </w:tr>
      <w:tr w:rsidR="00455303" w14:paraId="2E9325EF" w14:textId="77777777" w:rsidTr="00DA0F2D">
        <w:tc>
          <w:tcPr>
            <w:tcW w:w="3370" w:type="dxa"/>
          </w:tcPr>
          <w:p w14:paraId="0950BC59" w14:textId="77777777" w:rsidR="00455303" w:rsidRDefault="00455303" w:rsidP="00C40794">
            <w:pPr>
              <w:pStyle w:val="Default"/>
              <w:rPr>
                <w:sz w:val="22"/>
                <w:szCs w:val="22"/>
              </w:rPr>
            </w:pPr>
            <w:r>
              <w:rPr>
                <w:sz w:val="22"/>
                <w:szCs w:val="22"/>
              </w:rPr>
              <w:t xml:space="preserve">En musique, un intervalle entre deux sons est défini par le rapport (et non la différence) de leurs fréquences fondamentales. </w:t>
            </w:r>
          </w:p>
          <w:p w14:paraId="54C69E59" w14:textId="297E7A57" w:rsidR="00455303" w:rsidRPr="00C00448" w:rsidRDefault="00455303" w:rsidP="00C40794">
            <w:pPr>
              <w:pStyle w:val="Default"/>
              <w:rPr>
                <w:sz w:val="22"/>
                <w:szCs w:val="22"/>
              </w:rPr>
            </w:pPr>
            <w:r>
              <w:rPr>
                <w:sz w:val="22"/>
                <w:szCs w:val="22"/>
              </w:rPr>
              <w:t xml:space="preserve">Deux sons dont les fréquences sont dans le rapport 2/1 correspondent à une même note, à deux hauteurs </w:t>
            </w:r>
            <w:r>
              <w:rPr>
                <w:sz w:val="22"/>
                <w:szCs w:val="22"/>
              </w:rPr>
              <w:lastRenderedPageBreak/>
              <w:t xml:space="preserve">différentes. L’intervalle qui les sépare s’appelle une octave. </w:t>
            </w:r>
          </w:p>
        </w:tc>
        <w:tc>
          <w:tcPr>
            <w:tcW w:w="2799" w:type="dxa"/>
          </w:tcPr>
          <w:p w14:paraId="6F81F749" w14:textId="76F441EE" w:rsidR="00455303" w:rsidRPr="00C00448" w:rsidRDefault="00455303" w:rsidP="00C57E33">
            <w:pPr>
              <w:pStyle w:val="Default"/>
              <w:rPr>
                <w:sz w:val="22"/>
                <w:szCs w:val="22"/>
              </w:rPr>
            </w:pPr>
            <w:r>
              <w:rPr>
                <w:sz w:val="22"/>
                <w:szCs w:val="22"/>
              </w:rPr>
              <w:lastRenderedPageBreak/>
              <w:t xml:space="preserve">. </w:t>
            </w:r>
          </w:p>
        </w:tc>
        <w:tc>
          <w:tcPr>
            <w:tcW w:w="2799" w:type="dxa"/>
            <w:vMerge w:val="restart"/>
            <w:shd w:val="clear" w:color="auto" w:fill="BDD6EE" w:themeFill="accent5" w:themeFillTint="66"/>
          </w:tcPr>
          <w:p w14:paraId="2D636E28" w14:textId="77777777" w:rsidR="00455303" w:rsidRPr="00DA7CDF" w:rsidRDefault="00455303" w:rsidP="00C57E33">
            <w:pPr>
              <w:rPr>
                <w:rFonts w:ascii="Cambria" w:hAnsi="Cambria"/>
                <w:b/>
                <w:sz w:val="22"/>
                <w:szCs w:val="22"/>
              </w:rPr>
            </w:pPr>
            <w:r w:rsidRPr="00DA7CDF">
              <w:rPr>
                <w:rFonts w:ascii="Cambria" w:hAnsi="Cambria"/>
                <w:b/>
                <w:sz w:val="22"/>
                <w:szCs w:val="22"/>
              </w:rPr>
              <w:t>Physique-chimie :</w:t>
            </w:r>
          </w:p>
          <w:p w14:paraId="316E3EA2" w14:textId="77777777" w:rsidR="00455303" w:rsidRPr="00DA7CDF" w:rsidRDefault="3B1F6B6C" w:rsidP="00DA7CDF">
            <w:pPr>
              <w:pStyle w:val="Default"/>
              <w:rPr>
                <w:rFonts w:ascii="Cambria" w:hAnsi="Cambria"/>
                <w:sz w:val="22"/>
                <w:szCs w:val="22"/>
              </w:rPr>
            </w:pPr>
            <w:r w:rsidRPr="3B1F6B6C">
              <w:rPr>
                <w:rFonts w:ascii="Cambria" w:hAnsi="Cambria"/>
                <w:sz w:val="22"/>
                <w:szCs w:val="22"/>
              </w:rPr>
              <w:t xml:space="preserve">Relier qualitativement la fréquence à la hauteur d’un son audible. </w:t>
            </w:r>
          </w:p>
          <w:p w14:paraId="06A54BD1" w14:textId="6B5E2C8B" w:rsidR="3B1F6B6C" w:rsidRDefault="3B1F6B6C" w:rsidP="3B1F6B6C">
            <w:pPr>
              <w:rPr>
                <w:rFonts w:ascii="Cambria" w:hAnsi="Cambria"/>
                <w:b/>
                <w:bCs/>
              </w:rPr>
            </w:pPr>
          </w:p>
          <w:p w14:paraId="7B5E2418" w14:textId="6962DB11" w:rsidR="00455303" w:rsidRPr="003874C1" w:rsidRDefault="3B1F6B6C" w:rsidP="3B1F6B6C">
            <w:pPr>
              <w:rPr>
                <w:rFonts w:ascii="Cambria" w:hAnsi="Cambria"/>
              </w:rPr>
            </w:pPr>
            <w:r w:rsidRPr="3B1F6B6C">
              <w:rPr>
                <w:rFonts w:ascii="Cambria" w:hAnsi="Cambria"/>
                <w:b/>
                <w:bCs/>
              </w:rPr>
              <w:t>Mathématiques :</w:t>
            </w:r>
          </w:p>
          <w:p w14:paraId="02486EFE" w14:textId="0930F52A" w:rsidR="00455303" w:rsidRPr="003874C1" w:rsidRDefault="3B1F6B6C" w:rsidP="3B1F6B6C">
            <w:pPr>
              <w:rPr>
                <w:rFonts w:ascii="Cambria" w:eastAsia="Cambria" w:hAnsi="Cambria" w:cs="Cambria"/>
              </w:rPr>
            </w:pPr>
            <w:r w:rsidRPr="3B1F6B6C">
              <w:rPr>
                <w:rFonts w:ascii="Cambria" w:eastAsia="Cambria" w:hAnsi="Cambria" w:cs="Cambria"/>
              </w:rPr>
              <w:t xml:space="preserve">Fractions, quotients, puissances (de 2 </w:t>
            </w:r>
            <w:r w:rsidRPr="3B1F6B6C">
              <w:rPr>
                <w:rFonts w:ascii="Cambria" w:eastAsia="Cambria" w:hAnsi="Cambria" w:cs="Cambria"/>
              </w:rPr>
              <w:lastRenderedPageBreak/>
              <w:t>notamment)</w:t>
            </w:r>
          </w:p>
          <w:p w14:paraId="575E3864" w14:textId="39CC13E4" w:rsidR="00455303" w:rsidRPr="003874C1" w:rsidRDefault="3B1F6B6C" w:rsidP="3B1F6B6C">
            <w:pPr>
              <w:rPr>
                <w:rFonts w:ascii="Cambria" w:eastAsia="Cambria" w:hAnsi="Cambria" w:cs="Cambria"/>
              </w:rPr>
            </w:pPr>
            <w:r w:rsidRPr="3B1F6B6C">
              <w:rPr>
                <w:rFonts w:ascii="Cambria" w:eastAsia="Cambria" w:hAnsi="Cambria" w:cs="Cambria"/>
              </w:rPr>
              <w:t>Nombres rationnels et irrationnels</w:t>
            </w:r>
          </w:p>
          <w:p w14:paraId="773C2344" w14:textId="16654223" w:rsidR="00455303" w:rsidRPr="003874C1" w:rsidRDefault="3B1F6B6C" w:rsidP="3B1F6B6C">
            <w:pPr>
              <w:rPr>
                <w:rFonts w:ascii="Cambria" w:eastAsia="Cambria" w:hAnsi="Cambria" w:cs="Cambria"/>
              </w:rPr>
            </w:pPr>
            <w:r w:rsidRPr="3B1F6B6C">
              <w:rPr>
                <w:rFonts w:ascii="Cambria" w:eastAsia="Cambria" w:hAnsi="Cambria" w:cs="Cambria"/>
              </w:rPr>
              <w:t>Arithmétique</w:t>
            </w:r>
          </w:p>
          <w:p w14:paraId="6E33CE75" w14:textId="334E3447" w:rsidR="00455303" w:rsidRPr="003874C1" w:rsidRDefault="3B1F6B6C" w:rsidP="3B1F6B6C">
            <w:pPr>
              <w:pStyle w:val="Default"/>
              <w:rPr>
                <w:rFonts w:ascii="Cambria" w:hAnsi="Cambria"/>
                <w:sz w:val="22"/>
                <w:szCs w:val="22"/>
              </w:rPr>
            </w:pPr>
            <w:r w:rsidRPr="3B1F6B6C">
              <w:rPr>
                <w:rFonts w:ascii="Cambria" w:hAnsi="Cambria"/>
                <w:i/>
                <w:iCs/>
                <w:sz w:val="22"/>
                <w:szCs w:val="22"/>
              </w:rPr>
              <w:t>Utilisation du tableur</w:t>
            </w:r>
            <w:r w:rsidRPr="3B1F6B6C">
              <w:rPr>
                <w:rFonts w:ascii="Cambria" w:hAnsi="Cambria"/>
                <w:sz w:val="22"/>
                <w:szCs w:val="22"/>
              </w:rPr>
              <w:t xml:space="preserve"> </w:t>
            </w:r>
          </w:p>
          <w:p w14:paraId="55A544D7" w14:textId="0DEFE168" w:rsidR="00455303" w:rsidRPr="003874C1" w:rsidRDefault="3B1F6B6C" w:rsidP="3B1F6B6C">
            <w:pPr>
              <w:pStyle w:val="Default"/>
              <w:rPr>
                <w:rFonts w:ascii="Cambria" w:hAnsi="Cambria"/>
                <w:i/>
                <w:iCs/>
                <w:sz w:val="22"/>
                <w:szCs w:val="22"/>
              </w:rPr>
            </w:pPr>
            <w:r w:rsidRPr="3B1F6B6C">
              <w:rPr>
                <w:rFonts w:ascii="Cambria" w:hAnsi="Cambria"/>
                <w:i/>
                <w:iCs/>
                <w:sz w:val="22"/>
                <w:szCs w:val="22"/>
              </w:rPr>
              <w:t>Programmation Python</w:t>
            </w:r>
          </w:p>
          <w:p w14:paraId="4DB76B7F" w14:textId="1395AEC6" w:rsidR="00455303" w:rsidRPr="003874C1" w:rsidRDefault="00455303" w:rsidP="3B1F6B6C">
            <w:pPr>
              <w:rPr>
                <w:rFonts w:ascii="Cambria" w:hAnsi="Cambria"/>
                <w:b/>
                <w:bCs/>
              </w:rPr>
            </w:pPr>
          </w:p>
        </w:tc>
        <w:tc>
          <w:tcPr>
            <w:tcW w:w="2799" w:type="dxa"/>
            <w:vMerge w:val="restart"/>
          </w:tcPr>
          <w:p w14:paraId="6B7E3378" w14:textId="27E97A2D" w:rsidR="00455303" w:rsidRPr="000F1C43" w:rsidRDefault="00455303" w:rsidP="00C57E33">
            <w:pPr>
              <w:rPr>
                <w:rFonts w:ascii="Cambria" w:hAnsi="Cambria"/>
              </w:rPr>
            </w:pPr>
          </w:p>
        </w:tc>
        <w:tc>
          <w:tcPr>
            <w:tcW w:w="2799" w:type="dxa"/>
            <w:vMerge w:val="restart"/>
          </w:tcPr>
          <w:p w14:paraId="23947BAA" w14:textId="2D389607" w:rsidR="00455303" w:rsidRPr="009E745E" w:rsidRDefault="3B1F6B6C" w:rsidP="3B1F6B6C">
            <w:pPr>
              <w:rPr>
                <w:rFonts w:ascii="Cambria" w:hAnsi="Cambria"/>
                <w:sz w:val="22"/>
                <w:szCs w:val="22"/>
              </w:rPr>
            </w:pPr>
            <w:r w:rsidRPr="3B1F6B6C">
              <w:rPr>
                <w:rFonts w:ascii="Cambria" w:hAnsi="Cambria"/>
                <w:b/>
                <w:bCs/>
                <w:sz w:val="22"/>
                <w:szCs w:val="22"/>
              </w:rPr>
              <w:t>Mathématiques :</w:t>
            </w:r>
          </w:p>
          <w:p w14:paraId="7FEFA8E0" w14:textId="14213F6F" w:rsidR="00455303" w:rsidRPr="009E745E" w:rsidRDefault="3B1F6B6C" w:rsidP="3B1F6B6C">
            <w:pPr>
              <w:rPr>
                <w:rFonts w:ascii="Cambria" w:hAnsi="Cambria"/>
                <w:sz w:val="22"/>
                <w:szCs w:val="22"/>
              </w:rPr>
            </w:pPr>
            <w:r w:rsidRPr="3B1F6B6C">
              <w:rPr>
                <w:rFonts w:ascii="Cambria" w:hAnsi="Cambria"/>
                <w:sz w:val="22"/>
                <w:szCs w:val="22"/>
              </w:rPr>
              <w:t>La notion de suite est exploitable (ainsi que la notion de limite abordée en Première).</w:t>
            </w:r>
          </w:p>
          <w:p w14:paraId="17518CCC" w14:textId="08C1AA84" w:rsidR="00455303" w:rsidRPr="009E745E" w:rsidRDefault="3B1F6B6C" w:rsidP="3B1F6B6C">
            <w:pPr>
              <w:rPr>
                <w:rFonts w:ascii="Cambria" w:hAnsi="Cambria"/>
                <w:sz w:val="22"/>
                <w:szCs w:val="22"/>
              </w:rPr>
            </w:pPr>
            <w:r w:rsidRPr="3B1F6B6C">
              <w:rPr>
                <w:rFonts w:ascii="Cambria" w:hAnsi="Cambria"/>
                <w:sz w:val="22"/>
                <w:szCs w:val="22"/>
              </w:rPr>
              <w:t xml:space="preserve">Les travaux d’algorithmique et de programmation de ce </w:t>
            </w:r>
            <w:r w:rsidRPr="3B1F6B6C">
              <w:rPr>
                <w:rFonts w:ascii="Cambria" w:hAnsi="Cambria"/>
                <w:sz w:val="22"/>
                <w:szCs w:val="22"/>
              </w:rPr>
              <w:lastRenderedPageBreak/>
              <w:t>thème peuvent donner lieu à des activités différenciées selon les compétences des élèves.</w:t>
            </w:r>
          </w:p>
        </w:tc>
      </w:tr>
      <w:tr w:rsidR="00455303" w14:paraId="57C75C72" w14:textId="77777777" w:rsidTr="00DA0F2D">
        <w:tc>
          <w:tcPr>
            <w:tcW w:w="3370" w:type="dxa"/>
          </w:tcPr>
          <w:p w14:paraId="41CBF6D9" w14:textId="77777777" w:rsidR="00455303" w:rsidRDefault="00455303" w:rsidP="00C40794">
            <w:pPr>
              <w:pStyle w:val="Default"/>
              <w:rPr>
                <w:sz w:val="22"/>
                <w:szCs w:val="22"/>
              </w:rPr>
            </w:pPr>
            <w:r>
              <w:rPr>
                <w:sz w:val="22"/>
                <w:szCs w:val="22"/>
              </w:rPr>
              <w:lastRenderedPageBreak/>
              <w:t xml:space="preserve">Une gamme est une suite finie de notes réparties sur une octave. </w:t>
            </w:r>
          </w:p>
          <w:p w14:paraId="48C9AFA2" w14:textId="77777777" w:rsidR="00455303" w:rsidRDefault="00455303" w:rsidP="00C40794">
            <w:pPr>
              <w:pStyle w:val="Default"/>
              <w:rPr>
                <w:sz w:val="22"/>
                <w:szCs w:val="22"/>
              </w:rPr>
            </w:pPr>
            <w:r>
              <w:rPr>
                <w:sz w:val="22"/>
                <w:szCs w:val="22"/>
              </w:rPr>
              <w:t xml:space="preserve">Dans l’Antiquité, la construction des gammes était basée sur des fractions simples, (2/1, 3/2, 4/3, etc.). En effet, des sons dont les fréquences sont dans ces rapports simples étaient alors considérés comme les seuls à être consonants. </w:t>
            </w:r>
          </w:p>
          <w:p w14:paraId="7C63BAA8" w14:textId="77777777" w:rsidR="00455303" w:rsidRDefault="00455303" w:rsidP="00C40794">
            <w:pPr>
              <w:pStyle w:val="Default"/>
              <w:rPr>
                <w:sz w:val="22"/>
                <w:szCs w:val="22"/>
              </w:rPr>
            </w:pPr>
            <w:r>
              <w:rPr>
                <w:sz w:val="22"/>
                <w:szCs w:val="22"/>
              </w:rPr>
              <w:t xml:space="preserve">Une quinte est un intervalle entre deux fréquences de rapport 3/2. </w:t>
            </w:r>
          </w:p>
          <w:p w14:paraId="18FCB2F3" w14:textId="77777777" w:rsidR="00455303" w:rsidRDefault="00455303" w:rsidP="00C40794">
            <w:pPr>
              <w:pStyle w:val="Default"/>
              <w:rPr>
                <w:sz w:val="22"/>
                <w:szCs w:val="22"/>
              </w:rPr>
            </w:pPr>
            <w:r>
              <w:rPr>
                <w:sz w:val="22"/>
                <w:szCs w:val="22"/>
              </w:rPr>
              <w:t xml:space="preserve">Les gammes dites de Pythagore sont basées sur le cycle des quintes. </w:t>
            </w:r>
          </w:p>
          <w:p w14:paraId="27363F4B" w14:textId="3169C7C1" w:rsidR="00455303" w:rsidRPr="00C00448" w:rsidRDefault="00455303" w:rsidP="00C40794">
            <w:pPr>
              <w:pStyle w:val="Default"/>
              <w:rPr>
                <w:sz w:val="22"/>
                <w:szCs w:val="22"/>
              </w:rPr>
            </w:pPr>
            <w:r>
              <w:rPr>
                <w:sz w:val="22"/>
                <w:szCs w:val="22"/>
              </w:rPr>
              <w:t xml:space="preserve">Pour des raisons mathématiques, ce cycle des quintes ne « reboucle » jamais sur la note de départ. Cependant, les cycles de 5, 7 ou 12 quintes « rebouclent » presque. Pour les gammes associées, l’identification de la dernière note avec la première impose que l’une des quintes du cycle ne corresponde pas exactement à la fréquence 3/2. </w:t>
            </w:r>
          </w:p>
        </w:tc>
        <w:tc>
          <w:tcPr>
            <w:tcW w:w="2799" w:type="dxa"/>
          </w:tcPr>
          <w:p w14:paraId="422108C9" w14:textId="77777777" w:rsidR="00455303" w:rsidRDefault="00455303" w:rsidP="00C40794">
            <w:pPr>
              <w:pStyle w:val="Default"/>
              <w:rPr>
                <w:sz w:val="22"/>
                <w:szCs w:val="22"/>
              </w:rPr>
            </w:pPr>
            <w:r>
              <w:rPr>
                <w:sz w:val="22"/>
                <w:szCs w:val="22"/>
              </w:rPr>
              <w:t xml:space="preserve">Calculer des puissances et des quotients en lien avec le cycle des quintes. </w:t>
            </w:r>
          </w:p>
          <w:p w14:paraId="10BE8665" w14:textId="085AE06A" w:rsidR="00455303" w:rsidRPr="00C00448" w:rsidRDefault="00455303" w:rsidP="00C40794">
            <w:pPr>
              <w:pStyle w:val="Default"/>
              <w:rPr>
                <w:sz w:val="22"/>
                <w:szCs w:val="22"/>
              </w:rPr>
            </w:pPr>
            <w:r>
              <w:rPr>
                <w:sz w:val="22"/>
                <w:szCs w:val="22"/>
              </w:rPr>
              <w:t xml:space="preserve">Mettre en place un raisonnement mathématique pour prouver que le cycle des quintes est infini. </w:t>
            </w:r>
          </w:p>
        </w:tc>
        <w:tc>
          <w:tcPr>
            <w:tcW w:w="2799" w:type="dxa"/>
            <w:vMerge/>
          </w:tcPr>
          <w:p w14:paraId="7549FA88" w14:textId="77777777" w:rsidR="00455303" w:rsidRPr="003874C1" w:rsidRDefault="00455303" w:rsidP="00C40794">
            <w:pPr>
              <w:pStyle w:val="Default"/>
              <w:rPr>
                <w:rFonts w:ascii="Cambria" w:hAnsi="Cambria"/>
              </w:rPr>
            </w:pPr>
          </w:p>
        </w:tc>
        <w:tc>
          <w:tcPr>
            <w:tcW w:w="2799" w:type="dxa"/>
            <w:vMerge/>
          </w:tcPr>
          <w:p w14:paraId="321D17F6" w14:textId="77777777" w:rsidR="00455303" w:rsidRDefault="00455303" w:rsidP="00C40794"/>
        </w:tc>
        <w:tc>
          <w:tcPr>
            <w:tcW w:w="2799" w:type="dxa"/>
            <w:vMerge/>
          </w:tcPr>
          <w:p w14:paraId="212D0938" w14:textId="77777777" w:rsidR="00455303" w:rsidRDefault="00455303" w:rsidP="00C40794"/>
        </w:tc>
      </w:tr>
      <w:tr w:rsidR="00C40794" w14:paraId="1132F5F1" w14:textId="77777777" w:rsidTr="00DA0F2D">
        <w:tc>
          <w:tcPr>
            <w:tcW w:w="3370" w:type="dxa"/>
          </w:tcPr>
          <w:p w14:paraId="2DFB1B47" w14:textId="77777777" w:rsidR="00C40794" w:rsidRDefault="00C40794" w:rsidP="00C40794">
            <w:pPr>
              <w:pStyle w:val="Default"/>
              <w:rPr>
                <w:sz w:val="22"/>
                <w:szCs w:val="22"/>
              </w:rPr>
            </w:pPr>
            <w:r>
              <w:rPr>
                <w:sz w:val="22"/>
                <w:szCs w:val="22"/>
              </w:rPr>
              <w:t xml:space="preserve">Les intervalles entre deux notes consécutives des gammes dites de Pythagore ne sont pas </w:t>
            </w:r>
            <w:r>
              <w:rPr>
                <w:sz w:val="22"/>
                <w:szCs w:val="22"/>
              </w:rPr>
              <w:lastRenderedPageBreak/>
              <w:t xml:space="preserve">égaux, ce qui entrave la transposition. </w:t>
            </w:r>
          </w:p>
          <w:p w14:paraId="128B5F4D" w14:textId="15523209" w:rsidR="00C40794" w:rsidRPr="00C00448" w:rsidRDefault="00C40794" w:rsidP="00C40794">
            <w:pPr>
              <w:pStyle w:val="Default"/>
              <w:rPr>
                <w:sz w:val="22"/>
                <w:szCs w:val="22"/>
              </w:rPr>
            </w:pPr>
            <w:r>
              <w:rPr>
                <w:sz w:val="22"/>
                <w:szCs w:val="22"/>
              </w:rPr>
              <w:t>La connaissance des nombres irrationnels a permis, au XVII</w:t>
            </w:r>
            <w:r>
              <w:rPr>
                <w:sz w:val="14"/>
                <w:szCs w:val="14"/>
              </w:rPr>
              <w:t xml:space="preserve">e </w:t>
            </w:r>
            <w:r>
              <w:rPr>
                <w:sz w:val="22"/>
                <w:szCs w:val="22"/>
              </w:rPr>
              <w:t xml:space="preserve">siècle, de construire des gammes à intervalles égaux. </w:t>
            </w:r>
          </w:p>
        </w:tc>
        <w:tc>
          <w:tcPr>
            <w:tcW w:w="2799" w:type="dxa"/>
          </w:tcPr>
          <w:p w14:paraId="6367F7FB" w14:textId="413F7AE2" w:rsidR="00C40794" w:rsidRPr="00C00448" w:rsidRDefault="00C40794" w:rsidP="00C40794">
            <w:pPr>
              <w:pStyle w:val="Default"/>
              <w:rPr>
                <w:sz w:val="22"/>
                <w:szCs w:val="22"/>
              </w:rPr>
            </w:pPr>
            <w:r>
              <w:rPr>
                <w:sz w:val="22"/>
                <w:szCs w:val="22"/>
              </w:rPr>
              <w:lastRenderedPageBreak/>
              <w:t xml:space="preserve">Utiliser la racine douzième de 2 pour partager l’octave en douze intervalles égaux. </w:t>
            </w:r>
          </w:p>
        </w:tc>
        <w:tc>
          <w:tcPr>
            <w:tcW w:w="2799" w:type="dxa"/>
            <w:shd w:val="clear" w:color="auto" w:fill="BDD6EE" w:themeFill="accent5" w:themeFillTint="66"/>
          </w:tcPr>
          <w:p w14:paraId="26A13805" w14:textId="77777777" w:rsidR="00C40794" w:rsidRDefault="00C40794" w:rsidP="00C40794"/>
        </w:tc>
        <w:tc>
          <w:tcPr>
            <w:tcW w:w="2799" w:type="dxa"/>
          </w:tcPr>
          <w:p w14:paraId="11EED782" w14:textId="77777777" w:rsidR="00C40794" w:rsidRDefault="00C40794" w:rsidP="00C40794"/>
        </w:tc>
        <w:tc>
          <w:tcPr>
            <w:tcW w:w="2799" w:type="dxa"/>
          </w:tcPr>
          <w:p w14:paraId="12CE58D7" w14:textId="77777777" w:rsidR="00C40794" w:rsidRDefault="00C40794" w:rsidP="00C40794"/>
        </w:tc>
      </w:tr>
      <w:tr w:rsidR="00C57E33" w14:paraId="24EFED06" w14:textId="77777777" w:rsidTr="00DA0F2D">
        <w:tc>
          <w:tcPr>
            <w:tcW w:w="14566" w:type="dxa"/>
            <w:gridSpan w:val="5"/>
          </w:tcPr>
          <w:tbl>
            <w:tblPr>
              <w:tblW w:w="14364" w:type="dxa"/>
              <w:tblBorders>
                <w:top w:val="nil"/>
                <w:left w:val="nil"/>
                <w:bottom w:val="nil"/>
                <w:right w:val="nil"/>
              </w:tblBorders>
              <w:tblLayout w:type="fixed"/>
              <w:tblLook w:val="0000" w:firstRow="0" w:lastRow="0" w:firstColumn="0" w:lastColumn="0" w:noHBand="0" w:noVBand="0"/>
            </w:tblPr>
            <w:tblGrid>
              <w:gridCol w:w="236"/>
              <w:gridCol w:w="14128"/>
            </w:tblGrid>
            <w:tr w:rsidR="00C40794" w:rsidRPr="003C0037" w14:paraId="3E7D6488" w14:textId="7D015DDD" w:rsidTr="00DA0F2D">
              <w:trPr>
                <w:trHeight w:val="884"/>
              </w:trPr>
              <w:tc>
                <w:tcPr>
                  <w:tcW w:w="236" w:type="dxa"/>
                </w:tcPr>
                <w:p w14:paraId="64AC3BC2" w14:textId="0C6118F0" w:rsidR="00C40794" w:rsidRPr="003C0037" w:rsidRDefault="00C40794" w:rsidP="00C40794">
                  <w:pPr>
                    <w:widowControl/>
                    <w:kinsoku/>
                    <w:autoSpaceDE w:val="0"/>
                    <w:autoSpaceDN w:val="0"/>
                    <w:adjustRightInd w:val="0"/>
                    <w:rPr>
                      <w:rFonts w:ascii="Arial" w:eastAsiaTheme="minorHAnsi" w:hAnsi="Arial" w:cs="Arial"/>
                      <w:color w:val="000000"/>
                      <w:sz w:val="22"/>
                      <w:szCs w:val="22"/>
                      <w:lang w:eastAsia="en-US"/>
                    </w:rPr>
                  </w:pPr>
                  <w:r w:rsidRPr="003C0037">
                    <w:rPr>
                      <w:rFonts w:ascii="Arial" w:eastAsiaTheme="minorHAnsi" w:hAnsi="Arial" w:cs="Arial"/>
                      <w:color w:val="000000"/>
                      <w:sz w:val="22"/>
                      <w:szCs w:val="22"/>
                      <w:lang w:eastAsia="en-US"/>
                    </w:rPr>
                    <w:t xml:space="preserve"> </w:t>
                  </w:r>
                </w:p>
              </w:tc>
              <w:tc>
                <w:tcPr>
                  <w:tcW w:w="14128" w:type="dxa"/>
                </w:tcPr>
                <w:p w14:paraId="5BDC1181" w14:textId="77777777" w:rsidR="00C40794" w:rsidRPr="00C40794" w:rsidRDefault="00C40794" w:rsidP="00C40794">
                  <w:pPr>
                    <w:pStyle w:val="Default"/>
                    <w:rPr>
                      <w:sz w:val="22"/>
                      <w:szCs w:val="22"/>
                    </w:rPr>
                  </w:pPr>
                  <w:r w:rsidRPr="00C40794">
                    <w:rPr>
                      <w:b/>
                      <w:bCs/>
                      <w:sz w:val="22"/>
                      <w:szCs w:val="22"/>
                    </w:rPr>
                    <w:t xml:space="preserve">Prérequis et limites </w:t>
                  </w:r>
                </w:p>
                <w:p w14:paraId="24986452" w14:textId="77777777" w:rsidR="00C40794" w:rsidRPr="00C40794" w:rsidRDefault="00C40794" w:rsidP="00DA0F2D">
                  <w:pPr>
                    <w:pStyle w:val="Default"/>
                    <w:ind w:hanging="7"/>
                    <w:rPr>
                      <w:sz w:val="22"/>
                      <w:szCs w:val="22"/>
                    </w:rPr>
                  </w:pPr>
                  <w:r w:rsidRPr="00C40794">
                    <w:rPr>
                      <w:sz w:val="22"/>
                      <w:szCs w:val="22"/>
                    </w:rPr>
                    <w:t xml:space="preserve">La construction des gammes dites de Pythagore s’appuie sur des connaissances mathématiques acquises au collège sur les fractions et les puissances et permet de les mobiliser dans un contexte artistique. L’introduction des gammes « au tempérament égal » permet de comprendre en quoi la découverte des nombres irrationnels a des applications en dehors du champ mathématique. </w:t>
                  </w:r>
                </w:p>
                <w:p w14:paraId="387AD8CD" w14:textId="054D6B32" w:rsidR="00C40794" w:rsidRPr="003C0037" w:rsidRDefault="00C40794" w:rsidP="00DA0F2D">
                  <w:pPr>
                    <w:widowControl/>
                    <w:kinsoku/>
                    <w:spacing w:after="160" w:line="259" w:lineRule="auto"/>
                    <w:ind w:hanging="7"/>
                    <w:rPr>
                      <w:sz w:val="22"/>
                      <w:szCs w:val="22"/>
                    </w:rPr>
                  </w:pPr>
                  <w:r w:rsidRPr="00C40794">
                    <w:rPr>
                      <w:rFonts w:ascii="Arial" w:hAnsi="Arial" w:cs="Arial"/>
                      <w:sz w:val="22"/>
                      <w:szCs w:val="22"/>
                    </w:rPr>
                    <w:t>La racine douzième de 2 est introduite par analogie avec la racine carrée, en lien avec l’utilisation de la calculatrice.</w:t>
                  </w:r>
                  <w:r>
                    <w:rPr>
                      <w:sz w:val="22"/>
                      <w:szCs w:val="22"/>
                    </w:rPr>
                    <w:t xml:space="preserve"> </w:t>
                  </w:r>
                </w:p>
              </w:tc>
            </w:tr>
          </w:tbl>
          <w:p w14:paraId="6B869430" w14:textId="77777777" w:rsidR="00C57E33" w:rsidRDefault="00C57E33" w:rsidP="00C57E33"/>
        </w:tc>
      </w:tr>
      <w:tr w:rsidR="00C57E33" w14:paraId="31A9207D" w14:textId="77777777" w:rsidTr="00DA0F2D">
        <w:tc>
          <w:tcPr>
            <w:tcW w:w="14566" w:type="dxa"/>
            <w:gridSpan w:val="5"/>
            <w:vAlign w:val="center"/>
          </w:tcPr>
          <w:p w14:paraId="2364D520" w14:textId="4F1A7E17" w:rsidR="00C57E33" w:rsidRPr="00C40794" w:rsidRDefault="00C57E33" w:rsidP="3B1F6B6C">
            <w:pPr>
              <w:spacing w:before="72"/>
              <w:rPr>
                <w:rFonts w:ascii="Arial" w:hAnsi="Arial" w:cs="Arial"/>
                <w:b/>
                <w:bCs/>
                <w:color w:val="17818E"/>
                <w:sz w:val="22"/>
                <w:szCs w:val="22"/>
              </w:rPr>
            </w:pPr>
            <w:r w:rsidRPr="00C40794">
              <w:rPr>
                <w:rFonts w:ascii="Arial" w:hAnsi="Arial" w:cs="Arial"/>
                <w:b/>
                <w:bCs/>
                <w:color w:val="17818E"/>
                <w:spacing w:val="-4"/>
                <w:w w:val="105"/>
                <w:sz w:val="22"/>
                <w:szCs w:val="22"/>
              </w:rPr>
              <w:t xml:space="preserve">4.3 – </w:t>
            </w:r>
            <w:r w:rsidR="00C40794">
              <w:rPr>
                <w:rFonts w:ascii="Arial" w:hAnsi="Arial" w:cs="Arial"/>
                <w:b/>
                <w:bCs/>
                <w:color w:val="17818E"/>
                <w:spacing w:val="-4"/>
                <w:w w:val="105"/>
                <w:sz w:val="22"/>
                <w:szCs w:val="22"/>
              </w:rPr>
              <w:t>Le son, une information à coder</w:t>
            </w:r>
          </w:p>
          <w:p w14:paraId="6E50ED36" w14:textId="2B439445" w:rsidR="00C57E33" w:rsidRPr="00D906D4" w:rsidRDefault="00C40794" w:rsidP="00C57E33">
            <w:pPr>
              <w:pStyle w:val="Default"/>
              <w:rPr>
                <w:sz w:val="22"/>
                <w:szCs w:val="22"/>
              </w:rPr>
            </w:pPr>
            <w:r>
              <w:rPr>
                <w:sz w:val="22"/>
                <w:szCs w:val="22"/>
              </w:rPr>
              <w:t xml:space="preserve">Le son, vibration de l’air, peut être enregistré sur un support informatique. Les techniques numériques ont mis en évidence un nouveau type de relations entre les sciences et les sons, le processus de numérisation dérivant lui-même de théories mathématiques et informatiques. </w:t>
            </w:r>
          </w:p>
        </w:tc>
      </w:tr>
      <w:tr w:rsidR="00C57E33" w14:paraId="2AD80DFD" w14:textId="77777777" w:rsidTr="00DA0F2D">
        <w:tc>
          <w:tcPr>
            <w:tcW w:w="3370" w:type="dxa"/>
            <w:vAlign w:val="center"/>
          </w:tcPr>
          <w:p w14:paraId="4050163B" w14:textId="77777777" w:rsidR="00C57E33" w:rsidRDefault="00C57E33" w:rsidP="00C57E33">
            <w:pPr>
              <w:pStyle w:val="Default"/>
              <w:jc w:val="center"/>
              <w:rPr>
                <w:sz w:val="22"/>
                <w:szCs w:val="22"/>
              </w:rPr>
            </w:pPr>
            <w:r>
              <w:rPr>
                <w:b/>
                <w:bCs/>
                <w:sz w:val="22"/>
                <w:szCs w:val="22"/>
              </w:rPr>
              <w:t>Savoirs</w:t>
            </w:r>
          </w:p>
        </w:tc>
        <w:tc>
          <w:tcPr>
            <w:tcW w:w="2799" w:type="dxa"/>
            <w:vAlign w:val="center"/>
          </w:tcPr>
          <w:p w14:paraId="5B719F76" w14:textId="77777777" w:rsidR="00C57E33" w:rsidRDefault="00C57E33" w:rsidP="00C57E33">
            <w:pPr>
              <w:pStyle w:val="Default"/>
              <w:rPr>
                <w:sz w:val="22"/>
                <w:szCs w:val="22"/>
              </w:rPr>
            </w:pPr>
            <w:r>
              <w:rPr>
                <w:b/>
                <w:bCs/>
                <w:sz w:val="22"/>
                <w:szCs w:val="22"/>
              </w:rPr>
              <w:t>Savoir-faire</w:t>
            </w:r>
          </w:p>
        </w:tc>
        <w:tc>
          <w:tcPr>
            <w:tcW w:w="2799" w:type="dxa"/>
            <w:shd w:val="clear" w:color="auto" w:fill="BDD6EE" w:themeFill="accent5" w:themeFillTint="66"/>
          </w:tcPr>
          <w:p w14:paraId="30FF5D64" w14:textId="77777777" w:rsidR="00C57E33" w:rsidRDefault="00C57E33" w:rsidP="00C57E33">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799" w:type="dxa"/>
          </w:tcPr>
          <w:p w14:paraId="4FAE91E7" w14:textId="77777777" w:rsidR="00C57E33" w:rsidRDefault="00C57E33" w:rsidP="00C57E33">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 xml:space="preserve">s </w:t>
            </w:r>
            <w:r w:rsidRPr="000C5D32">
              <w:rPr>
                <w:rFonts w:asciiTheme="minorHAnsi" w:hAnsiTheme="minorHAnsi" w:cstheme="minorHAnsi"/>
                <w:b/>
              </w:rPr>
              <w:t>en première</w:t>
            </w:r>
          </w:p>
        </w:tc>
        <w:tc>
          <w:tcPr>
            <w:tcW w:w="2799" w:type="dxa"/>
          </w:tcPr>
          <w:p w14:paraId="77203D2E" w14:textId="77777777" w:rsidR="00C57E33" w:rsidRDefault="00C57E33" w:rsidP="00C57E33">
            <w:r w:rsidRPr="007F4857">
              <w:rPr>
                <w:rFonts w:asciiTheme="minorHAnsi" w:hAnsiTheme="minorHAnsi" w:cstheme="minorHAnsi"/>
                <w:b/>
              </w:rPr>
              <w:t>Liens avec les programmes de spécialité</w:t>
            </w:r>
          </w:p>
        </w:tc>
      </w:tr>
      <w:tr w:rsidR="00455303" w14:paraId="2849DC69" w14:textId="77777777" w:rsidTr="00DA0F2D">
        <w:tc>
          <w:tcPr>
            <w:tcW w:w="3370" w:type="dxa"/>
          </w:tcPr>
          <w:p w14:paraId="2D417AF5" w14:textId="77777777" w:rsidR="00455303" w:rsidRDefault="00455303" w:rsidP="00C40794">
            <w:pPr>
              <w:pStyle w:val="Default"/>
              <w:rPr>
                <w:sz w:val="22"/>
                <w:szCs w:val="22"/>
              </w:rPr>
            </w:pPr>
            <w:r>
              <w:rPr>
                <w:sz w:val="22"/>
                <w:szCs w:val="22"/>
              </w:rPr>
              <w:t xml:space="preserve">Pour numériser un son, on procède à la discrétisation du signal analogique sonore </w:t>
            </w:r>
          </w:p>
          <w:p w14:paraId="4416C16D" w14:textId="77777777" w:rsidR="00455303" w:rsidRDefault="00455303" w:rsidP="00C40794">
            <w:pPr>
              <w:pStyle w:val="Default"/>
              <w:rPr>
                <w:sz w:val="22"/>
                <w:szCs w:val="22"/>
              </w:rPr>
            </w:pPr>
            <w:r>
              <w:rPr>
                <w:sz w:val="22"/>
                <w:szCs w:val="22"/>
              </w:rPr>
              <w:t>(</w:t>
            </w:r>
            <w:proofErr w:type="gramStart"/>
            <w:r>
              <w:rPr>
                <w:sz w:val="22"/>
                <w:szCs w:val="22"/>
              </w:rPr>
              <w:t>échantillonnage</w:t>
            </w:r>
            <w:proofErr w:type="gramEnd"/>
            <w:r>
              <w:rPr>
                <w:sz w:val="22"/>
                <w:szCs w:val="22"/>
              </w:rPr>
              <w:t xml:space="preserve"> et quantification). </w:t>
            </w:r>
          </w:p>
          <w:p w14:paraId="380743D2" w14:textId="77777777" w:rsidR="00455303" w:rsidRDefault="00455303" w:rsidP="00C40794">
            <w:pPr>
              <w:pStyle w:val="Default"/>
              <w:rPr>
                <w:sz w:val="22"/>
                <w:szCs w:val="22"/>
              </w:rPr>
            </w:pPr>
            <w:r>
              <w:rPr>
                <w:sz w:val="22"/>
                <w:szCs w:val="22"/>
              </w:rPr>
              <w:t xml:space="preserve">Plus la fréquence d’échantillonnage est élevée et la quantification est fine, plus la numérisation est fidèle, mais plus la taille du fichier audio est grande. </w:t>
            </w:r>
          </w:p>
          <w:p w14:paraId="6A6EA15F" w14:textId="09C1A53C" w:rsidR="00455303" w:rsidRDefault="00455303" w:rsidP="00C40794">
            <w:pPr>
              <w:pStyle w:val="Default"/>
              <w:rPr>
                <w:sz w:val="22"/>
                <w:szCs w:val="22"/>
              </w:rPr>
            </w:pPr>
            <w:r>
              <w:rPr>
                <w:sz w:val="22"/>
                <w:szCs w:val="22"/>
              </w:rPr>
              <w:t xml:space="preserve">La reproduction fidèle du signal analogique nécessite une fréquence d’échantillonnage au moins double de celle du son. </w:t>
            </w:r>
          </w:p>
        </w:tc>
        <w:tc>
          <w:tcPr>
            <w:tcW w:w="2799" w:type="dxa"/>
          </w:tcPr>
          <w:p w14:paraId="64ECAF62" w14:textId="77777777" w:rsidR="00455303" w:rsidRDefault="00455303" w:rsidP="00C40794">
            <w:pPr>
              <w:pStyle w:val="Default"/>
              <w:rPr>
                <w:sz w:val="22"/>
                <w:szCs w:val="22"/>
              </w:rPr>
            </w:pPr>
            <w:r>
              <w:rPr>
                <w:sz w:val="22"/>
                <w:szCs w:val="22"/>
              </w:rPr>
              <w:t xml:space="preserve">Justifier le choix des paramètres de numérisation d’un son. </w:t>
            </w:r>
          </w:p>
          <w:p w14:paraId="590AF18B" w14:textId="67113278" w:rsidR="00455303" w:rsidRDefault="00455303" w:rsidP="00C40794">
            <w:pPr>
              <w:pStyle w:val="Default"/>
              <w:rPr>
                <w:sz w:val="22"/>
                <w:szCs w:val="22"/>
              </w:rPr>
            </w:pPr>
            <w:r>
              <w:rPr>
                <w:sz w:val="22"/>
                <w:szCs w:val="22"/>
              </w:rPr>
              <w:t xml:space="preserve">Estimer la taille d’un fichier audio. </w:t>
            </w:r>
          </w:p>
        </w:tc>
        <w:tc>
          <w:tcPr>
            <w:tcW w:w="2799" w:type="dxa"/>
            <w:vMerge w:val="restart"/>
            <w:shd w:val="clear" w:color="auto" w:fill="BDD6EE" w:themeFill="accent5" w:themeFillTint="66"/>
          </w:tcPr>
          <w:p w14:paraId="2DF7B9AC" w14:textId="3A1E4028" w:rsidR="00455303" w:rsidRDefault="3B1F6B6C" w:rsidP="3B1F6B6C">
            <w:pPr>
              <w:rPr>
                <w:rFonts w:ascii="Cambria" w:eastAsia="Cambria" w:hAnsi="Cambria" w:cs="Cambria"/>
                <w:b/>
                <w:bCs/>
              </w:rPr>
            </w:pPr>
            <w:r w:rsidRPr="3B1F6B6C">
              <w:rPr>
                <w:rFonts w:ascii="Cambria" w:eastAsia="Cambria" w:hAnsi="Cambria" w:cs="Cambria"/>
                <w:b/>
                <w:bCs/>
              </w:rPr>
              <w:t>Mathématiques</w:t>
            </w:r>
          </w:p>
          <w:p w14:paraId="2DBC6B9D" w14:textId="670FACC7" w:rsidR="00455303" w:rsidRDefault="3B1F6B6C" w:rsidP="3B1F6B6C">
            <w:pPr>
              <w:rPr>
                <w:rFonts w:ascii="Cambria" w:eastAsia="Cambria" w:hAnsi="Cambria" w:cs="Cambria"/>
              </w:rPr>
            </w:pPr>
            <w:r w:rsidRPr="3B1F6B6C">
              <w:rPr>
                <w:rFonts w:ascii="Cambria" w:eastAsia="Cambria" w:hAnsi="Cambria" w:cs="Cambria"/>
              </w:rPr>
              <w:t>Discrétisation d’une fonction</w:t>
            </w:r>
          </w:p>
          <w:p w14:paraId="0C71B15F" w14:textId="67B1664D" w:rsidR="00455303" w:rsidRDefault="3B1F6B6C" w:rsidP="3B1F6B6C">
            <w:pPr>
              <w:rPr>
                <w:rFonts w:ascii="Cambria" w:eastAsia="Cambria" w:hAnsi="Cambria" w:cs="Cambria"/>
              </w:rPr>
            </w:pPr>
            <w:r w:rsidRPr="3B1F6B6C">
              <w:rPr>
                <w:rFonts w:ascii="Cambria" w:eastAsia="Cambria" w:hAnsi="Cambria" w:cs="Cambria"/>
              </w:rPr>
              <w:t>Lecture de représentations graphiques</w:t>
            </w:r>
          </w:p>
          <w:p w14:paraId="4D5CDC51" w14:textId="0145E338" w:rsidR="00455303" w:rsidRDefault="3B1F6B6C" w:rsidP="3B1F6B6C">
            <w:pPr>
              <w:rPr>
                <w:rFonts w:ascii="Cambria" w:eastAsia="Cambria" w:hAnsi="Cambria" w:cs="Cambria"/>
              </w:rPr>
            </w:pPr>
            <w:r w:rsidRPr="3B1F6B6C">
              <w:rPr>
                <w:rFonts w:ascii="Cambria" w:eastAsia="Cambria" w:hAnsi="Cambria" w:cs="Cambria"/>
              </w:rPr>
              <w:t>Nombres en écriture binaire</w:t>
            </w:r>
          </w:p>
          <w:p w14:paraId="6F17BF62" w14:textId="2A313679" w:rsidR="00455303" w:rsidRDefault="3B1F6B6C" w:rsidP="3B1F6B6C">
            <w:pPr>
              <w:rPr>
                <w:rFonts w:ascii="Cambria" w:eastAsia="Cambria" w:hAnsi="Cambria" w:cs="Cambria"/>
              </w:rPr>
            </w:pPr>
            <w:r w:rsidRPr="3B1F6B6C">
              <w:rPr>
                <w:rFonts w:ascii="Cambria" w:eastAsia="Cambria" w:hAnsi="Cambria" w:cs="Cambria"/>
              </w:rPr>
              <w:t>Unités de temps, unités de quantité de données, débit</w:t>
            </w:r>
          </w:p>
          <w:p w14:paraId="69E52AE2" w14:textId="4865CCCF" w:rsidR="00455303" w:rsidRDefault="3B1F6B6C" w:rsidP="3B1F6B6C">
            <w:pPr>
              <w:rPr>
                <w:rFonts w:ascii="Cambria" w:eastAsia="Cambria" w:hAnsi="Cambria" w:cs="Cambria"/>
              </w:rPr>
            </w:pPr>
            <w:r w:rsidRPr="3B1F6B6C">
              <w:rPr>
                <w:rFonts w:ascii="Cambria" w:eastAsia="Cambria" w:hAnsi="Cambria" w:cs="Cambria"/>
              </w:rPr>
              <w:t>Taux (de compression)</w:t>
            </w:r>
          </w:p>
          <w:p w14:paraId="04CD2E82" w14:textId="334E3447" w:rsidR="00455303" w:rsidRDefault="3B1F6B6C" w:rsidP="3B1F6B6C">
            <w:pPr>
              <w:pStyle w:val="Default"/>
              <w:rPr>
                <w:rFonts w:ascii="Cambria" w:hAnsi="Cambria"/>
                <w:sz w:val="22"/>
                <w:szCs w:val="22"/>
              </w:rPr>
            </w:pPr>
            <w:r w:rsidRPr="3B1F6B6C">
              <w:rPr>
                <w:rFonts w:ascii="Cambria" w:hAnsi="Cambria"/>
                <w:i/>
                <w:iCs/>
                <w:sz w:val="22"/>
                <w:szCs w:val="22"/>
              </w:rPr>
              <w:t>Utilisation du tableur</w:t>
            </w:r>
            <w:r w:rsidRPr="3B1F6B6C">
              <w:rPr>
                <w:rFonts w:ascii="Cambria" w:hAnsi="Cambria"/>
                <w:sz w:val="22"/>
                <w:szCs w:val="22"/>
              </w:rPr>
              <w:t xml:space="preserve"> </w:t>
            </w:r>
          </w:p>
          <w:p w14:paraId="7339490D" w14:textId="3B1B6DC9" w:rsidR="00455303" w:rsidRDefault="3B1F6B6C" w:rsidP="3B1F6B6C">
            <w:pPr>
              <w:pStyle w:val="Default"/>
              <w:rPr>
                <w:rFonts w:ascii="Cambria" w:hAnsi="Cambria"/>
                <w:i/>
                <w:iCs/>
                <w:sz w:val="22"/>
                <w:szCs w:val="22"/>
              </w:rPr>
            </w:pPr>
            <w:r w:rsidRPr="3B1F6B6C">
              <w:rPr>
                <w:rFonts w:ascii="Cambria" w:hAnsi="Cambria"/>
                <w:i/>
                <w:iCs/>
                <w:sz w:val="22"/>
                <w:szCs w:val="22"/>
              </w:rPr>
              <w:t>Programmation Python</w:t>
            </w:r>
          </w:p>
          <w:p w14:paraId="13E14441" w14:textId="237B830E" w:rsidR="00455303" w:rsidRDefault="3B1F6B6C" w:rsidP="3B1F6B6C">
            <w:pPr>
              <w:pStyle w:val="Default"/>
              <w:rPr>
                <w:rFonts w:ascii="Cambria" w:hAnsi="Cambria"/>
                <w:i/>
                <w:iCs/>
                <w:sz w:val="22"/>
                <w:szCs w:val="22"/>
              </w:rPr>
            </w:pPr>
            <w:r w:rsidRPr="3B1F6B6C">
              <w:rPr>
                <w:rFonts w:ascii="Cambria" w:hAnsi="Cambria"/>
                <w:i/>
                <w:iCs/>
                <w:sz w:val="22"/>
                <w:szCs w:val="22"/>
              </w:rPr>
              <w:t>Logiciel de géométrie dynamique</w:t>
            </w:r>
          </w:p>
        </w:tc>
        <w:tc>
          <w:tcPr>
            <w:tcW w:w="2799" w:type="dxa"/>
            <w:vMerge w:val="restart"/>
          </w:tcPr>
          <w:p w14:paraId="40B3BC95" w14:textId="4FAEF2EE" w:rsidR="00455303" w:rsidRPr="008C33DE" w:rsidRDefault="00455303" w:rsidP="00C40794">
            <w:pPr>
              <w:rPr>
                <w:rFonts w:ascii="Cambria" w:hAnsi="Cambria"/>
                <w:sz w:val="22"/>
                <w:szCs w:val="22"/>
              </w:rPr>
            </w:pPr>
            <w:r w:rsidRPr="008C33DE">
              <w:rPr>
                <w:rFonts w:ascii="Cambria" w:hAnsi="Cambria"/>
                <w:sz w:val="22"/>
                <w:szCs w:val="22"/>
              </w:rPr>
              <w:t>On introduit la notion de fréquence d’échantillonnage et de quantification comme outils permettant de caractériser la qualité d’une numérisation en termes de fidélité par rapport au signal analogique numérisé.</w:t>
            </w:r>
          </w:p>
          <w:p w14:paraId="736C66EF" w14:textId="77777777" w:rsidR="00455303" w:rsidRPr="008C33DE" w:rsidRDefault="00455303" w:rsidP="00C40794">
            <w:pPr>
              <w:rPr>
                <w:rFonts w:ascii="Cambria" w:hAnsi="Cambria"/>
                <w:sz w:val="22"/>
                <w:szCs w:val="22"/>
              </w:rPr>
            </w:pPr>
          </w:p>
          <w:p w14:paraId="44043486" w14:textId="4F9A07AB" w:rsidR="00455303" w:rsidRPr="008C33DE" w:rsidRDefault="0E3BE76E" w:rsidP="0E3BE76E">
            <w:pPr>
              <w:rPr>
                <w:rFonts w:ascii="Cambria" w:hAnsi="Cambria"/>
                <w:sz w:val="22"/>
                <w:szCs w:val="22"/>
              </w:rPr>
            </w:pPr>
            <w:r w:rsidRPr="0E3BE76E">
              <w:rPr>
                <w:rFonts w:ascii="Cambria" w:hAnsi="Cambria"/>
                <w:sz w:val="22"/>
                <w:szCs w:val="22"/>
              </w:rPr>
              <w:t>On aborde la notion de taille et de compression de fichier audio que l’on relie à la perte d’informations en fonction du taux de compression.</w:t>
            </w:r>
          </w:p>
        </w:tc>
        <w:tc>
          <w:tcPr>
            <w:tcW w:w="2799" w:type="dxa"/>
            <w:vMerge w:val="restart"/>
          </w:tcPr>
          <w:p w14:paraId="705FDA62" w14:textId="77777777" w:rsidR="00455303" w:rsidRDefault="00455303" w:rsidP="00C40794"/>
        </w:tc>
      </w:tr>
      <w:tr w:rsidR="00455303" w14:paraId="51E9DFAF" w14:textId="77777777" w:rsidTr="00DA0F2D">
        <w:tc>
          <w:tcPr>
            <w:tcW w:w="3370" w:type="dxa"/>
          </w:tcPr>
          <w:p w14:paraId="19CA06B4" w14:textId="77777777" w:rsidR="00455303" w:rsidRDefault="00455303" w:rsidP="00C40794">
            <w:pPr>
              <w:pStyle w:val="Default"/>
              <w:rPr>
                <w:sz w:val="22"/>
                <w:szCs w:val="22"/>
              </w:rPr>
            </w:pPr>
            <w:r>
              <w:rPr>
                <w:sz w:val="22"/>
                <w:szCs w:val="22"/>
              </w:rPr>
              <w:t xml:space="preserve">La compression consiste à diminuer la taille d’un fichier afin </w:t>
            </w:r>
            <w:r>
              <w:rPr>
                <w:sz w:val="22"/>
                <w:szCs w:val="22"/>
              </w:rPr>
              <w:lastRenderedPageBreak/>
              <w:t xml:space="preserve">de faciliter son stockage et sa transmission. </w:t>
            </w:r>
          </w:p>
          <w:p w14:paraId="0D01F09F" w14:textId="766FEA73" w:rsidR="00455303" w:rsidRDefault="00455303" w:rsidP="00C40794">
            <w:pPr>
              <w:pStyle w:val="Default"/>
              <w:rPr>
                <w:sz w:val="22"/>
                <w:szCs w:val="22"/>
              </w:rPr>
            </w:pPr>
            <w:r>
              <w:rPr>
                <w:sz w:val="22"/>
                <w:szCs w:val="22"/>
              </w:rPr>
              <w:t xml:space="preserve">Les techniques de compression spécifiques au son, dites « avec perte d’information », éliminent les informations sonores auxquelles l’oreille est peu sensible. </w:t>
            </w:r>
          </w:p>
        </w:tc>
        <w:tc>
          <w:tcPr>
            <w:tcW w:w="2799" w:type="dxa"/>
          </w:tcPr>
          <w:p w14:paraId="3E822D6C" w14:textId="77777777" w:rsidR="00455303" w:rsidRDefault="00455303" w:rsidP="00C40794">
            <w:pPr>
              <w:pStyle w:val="Default"/>
              <w:rPr>
                <w:sz w:val="22"/>
                <w:szCs w:val="22"/>
              </w:rPr>
            </w:pPr>
            <w:r>
              <w:rPr>
                <w:sz w:val="22"/>
                <w:szCs w:val="22"/>
              </w:rPr>
              <w:lastRenderedPageBreak/>
              <w:t xml:space="preserve">Calculer un taux de compression. </w:t>
            </w:r>
          </w:p>
          <w:p w14:paraId="1E78AD20" w14:textId="23155497" w:rsidR="00455303" w:rsidRDefault="00455303" w:rsidP="00C40794">
            <w:pPr>
              <w:pStyle w:val="Default"/>
              <w:rPr>
                <w:sz w:val="22"/>
                <w:szCs w:val="22"/>
              </w:rPr>
            </w:pPr>
            <w:r>
              <w:rPr>
                <w:sz w:val="22"/>
                <w:szCs w:val="22"/>
              </w:rPr>
              <w:lastRenderedPageBreak/>
              <w:t xml:space="preserve">Comparer des caractéristiques et des qualités de fichiers audio compressés </w:t>
            </w:r>
          </w:p>
        </w:tc>
        <w:tc>
          <w:tcPr>
            <w:tcW w:w="2799" w:type="dxa"/>
            <w:vMerge/>
          </w:tcPr>
          <w:p w14:paraId="1696624B" w14:textId="77777777" w:rsidR="00455303" w:rsidRDefault="00455303" w:rsidP="00C40794"/>
        </w:tc>
        <w:tc>
          <w:tcPr>
            <w:tcW w:w="2799" w:type="dxa"/>
            <w:vMerge/>
          </w:tcPr>
          <w:p w14:paraId="22459D88" w14:textId="77777777" w:rsidR="00455303" w:rsidRDefault="00455303" w:rsidP="00C40794"/>
        </w:tc>
        <w:tc>
          <w:tcPr>
            <w:tcW w:w="2799" w:type="dxa"/>
            <w:vMerge/>
          </w:tcPr>
          <w:p w14:paraId="63B92C6B" w14:textId="77777777" w:rsidR="00455303" w:rsidRDefault="00455303" w:rsidP="00C40794"/>
        </w:tc>
      </w:tr>
      <w:tr w:rsidR="00C40794" w14:paraId="29B366BA" w14:textId="77777777" w:rsidTr="00DA0F2D">
        <w:tc>
          <w:tcPr>
            <w:tcW w:w="14566"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14350"/>
            </w:tblGrid>
            <w:tr w:rsidR="00C40794" w:rsidRPr="00C40794" w14:paraId="5D9A0FAE" w14:textId="77777777" w:rsidTr="00DA0F2D">
              <w:trPr>
                <w:trHeight w:val="504"/>
              </w:trPr>
              <w:tc>
                <w:tcPr>
                  <w:tcW w:w="14350" w:type="dxa"/>
                </w:tcPr>
                <w:p w14:paraId="5F781C2C" w14:textId="77777777" w:rsidR="00C40794" w:rsidRPr="00C40794" w:rsidRDefault="00C40794" w:rsidP="00C40794">
                  <w:pPr>
                    <w:widowControl/>
                    <w:kinsoku/>
                    <w:autoSpaceDE w:val="0"/>
                    <w:autoSpaceDN w:val="0"/>
                    <w:adjustRightInd w:val="0"/>
                    <w:rPr>
                      <w:rFonts w:ascii="Arial" w:eastAsiaTheme="minorHAnsi" w:hAnsi="Arial" w:cs="Arial"/>
                      <w:color w:val="000000"/>
                      <w:sz w:val="22"/>
                      <w:szCs w:val="22"/>
                      <w:lang w:eastAsia="en-US"/>
                    </w:rPr>
                  </w:pPr>
                  <w:r w:rsidRPr="00C40794">
                    <w:rPr>
                      <w:rFonts w:ascii="Arial" w:eastAsiaTheme="minorHAnsi" w:hAnsi="Arial" w:cs="Arial"/>
                      <w:b/>
                      <w:bCs/>
                      <w:color w:val="000000"/>
                      <w:sz w:val="22"/>
                      <w:szCs w:val="22"/>
                      <w:lang w:eastAsia="en-US"/>
                    </w:rPr>
                    <w:t xml:space="preserve">Prérequis et limites </w:t>
                  </w:r>
                </w:p>
                <w:p w14:paraId="1DDDB5F4" w14:textId="77777777" w:rsidR="00C40794" w:rsidRPr="00C40794" w:rsidRDefault="00C40794" w:rsidP="00C40794">
                  <w:pPr>
                    <w:widowControl/>
                    <w:kinsoku/>
                    <w:autoSpaceDE w:val="0"/>
                    <w:autoSpaceDN w:val="0"/>
                    <w:adjustRightInd w:val="0"/>
                    <w:rPr>
                      <w:rFonts w:ascii="Arial" w:eastAsiaTheme="minorHAnsi" w:hAnsi="Arial" w:cs="Arial"/>
                      <w:color w:val="000000"/>
                      <w:sz w:val="22"/>
                      <w:szCs w:val="22"/>
                      <w:lang w:eastAsia="en-US"/>
                    </w:rPr>
                  </w:pPr>
                  <w:r w:rsidRPr="00C40794">
                    <w:rPr>
                      <w:rFonts w:ascii="Arial" w:eastAsiaTheme="minorHAnsi" w:hAnsi="Arial" w:cs="Arial"/>
                      <w:color w:val="000000"/>
                      <w:sz w:val="22"/>
                      <w:szCs w:val="22"/>
                      <w:lang w:eastAsia="en-US"/>
                    </w:rPr>
                    <w:t xml:space="preserve">L’étude de la numérisation du son s’appuie sur les connaissances acquises dans l’enseignement « Sciences numériques et technologie » de seconde en matière de numérisation d’images. </w:t>
                  </w:r>
                </w:p>
              </w:tc>
            </w:tr>
          </w:tbl>
          <w:p w14:paraId="47A1EAA4" w14:textId="77777777" w:rsidR="00C40794" w:rsidRDefault="00C40794" w:rsidP="00C57E33"/>
        </w:tc>
      </w:tr>
      <w:tr w:rsidR="00CA597E" w14:paraId="718EA411" w14:textId="77777777" w:rsidTr="00DA0F2D">
        <w:tc>
          <w:tcPr>
            <w:tcW w:w="14566" w:type="dxa"/>
            <w:gridSpan w:val="5"/>
            <w:vAlign w:val="center"/>
          </w:tcPr>
          <w:p w14:paraId="415782AA" w14:textId="0714EF03" w:rsidR="00CA597E" w:rsidRPr="00CA597E" w:rsidRDefault="00CA597E" w:rsidP="3B1F6B6C">
            <w:pPr>
              <w:spacing w:before="72"/>
              <w:rPr>
                <w:rFonts w:ascii="Arial" w:hAnsi="Arial" w:cs="Arial"/>
                <w:b/>
                <w:bCs/>
                <w:color w:val="17818E"/>
                <w:sz w:val="22"/>
                <w:szCs w:val="22"/>
              </w:rPr>
            </w:pPr>
            <w:r w:rsidRPr="00CA597E">
              <w:rPr>
                <w:rFonts w:ascii="Arial" w:hAnsi="Arial" w:cs="Arial"/>
                <w:b/>
                <w:bCs/>
                <w:color w:val="17818E"/>
                <w:spacing w:val="-4"/>
                <w:w w:val="105"/>
                <w:sz w:val="22"/>
                <w:szCs w:val="22"/>
              </w:rPr>
              <w:t xml:space="preserve">4.4 – </w:t>
            </w:r>
            <w:r>
              <w:rPr>
                <w:rFonts w:ascii="Arial" w:hAnsi="Arial" w:cs="Arial"/>
                <w:b/>
                <w:bCs/>
                <w:color w:val="17818E"/>
                <w:spacing w:val="-4"/>
                <w:w w:val="105"/>
                <w:sz w:val="22"/>
                <w:szCs w:val="22"/>
              </w:rPr>
              <w:t>Entendre la musique</w:t>
            </w:r>
          </w:p>
          <w:p w14:paraId="15BC3D76" w14:textId="675FC9D6" w:rsidR="00CA597E" w:rsidRPr="00CA597E" w:rsidRDefault="00CA597E" w:rsidP="00CA597E">
            <w:pPr>
              <w:rPr>
                <w:rFonts w:ascii="Arial" w:hAnsi="Arial" w:cs="Arial"/>
              </w:rPr>
            </w:pPr>
            <w:r w:rsidRPr="00CA597E">
              <w:rPr>
                <w:rFonts w:ascii="Arial" w:hAnsi="Arial" w:cs="Arial"/>
              </w:rPr>
              <w:t>L’air qui vibre n’est musique que parce que notre oreille l’entend et que notre cerveau la perçoit comme telle. Mais l’excès de sons, même s’il est musical, est une forme de perturbation de l’environnement.</w:t>
            </w:r>
          </w:p>
        </w:tc>
      </w:tr>
      <w:tr w:rsidR="00CA597E" w14:paraId="3D8451C5" w14:textId="77777777" w:rsidTr="00DA0F2D">
        <w:tc>
          <w:tcPr>
            <w:tcW w:w="3370" w:type="dxa"/>
            <w:vAlign w:val="center"/>
          </w:tcPr>
          <w:p w14:paraId="416DD6CF" w14:textId="2AF66686" w:rsidR="00CA597E" w:rsidRDefault="00CA597E" w:rsidP="00CA597E">
            <w:pPr>
              <w:pStyle w:val="Default"/>
              <w:rPr>
                <w:sz w:val="22"/>
                <w:szCs w:val="22"/>
              </w:rPr>
            </w:pPr>
            <w:r>
              <w:rPr>
                <w:b/>
                <w:bCs/>
                <w:sz w:val="22"/>
                <w:szCs w:val="22"/>
              </w:rPr>
              <w:t>Savoirs</w:t>
            </w:r>
          </w:p>
        </w:tc>
        <w:tc>
          <w:tcPr>
            <w:tcW w:w="2799" w:type="dxa"/>
            <w:vAlign w:val="center"/>
          </w:tcPr>
          <w:p w14:paraId="2DD6AC40" w14:textId="49C7DB40" w:rsidR="00CA597E" w:rsidRDefault="00CA597E" w:rsidP="00CA597E">
            <w:pPr>
              <w:pStyle w:val="Default"/>
              <w:rPr>
                <w:sz w:val="22"/>
                <w:szCs w:val="22"/>
              </w:rPr>
            </w:pPr>
            <w:r>
              <w:rPr>
                <w:b/>
                <w:bCs/>
                <w:sz w:val="22"/>
                <w:szCs w:val="22"/>
              </w:rPr>
              <w:t>Savoir-faire</w:t>
            </w:r>
          </w:p>
        </w:tc>
        <w:tc>
          <w:tcPr>
            <w:tcW w:w="2799" w:type="dxa"/>
            <w:shd w:val="clear" w:color="auto" w:fill="BDD6EE" w:themeFill="accent5" w:themeFillTint="66"/>
          </w:tcPr>
          <w:p w14:paraId="1F9AE00E" w14:textId="13330569" w:rsidR="00CA597E" w:rsidRDefault="00CA597E" w:rsidP="00CA597E">
            <w:r>
              <w:rPr>
                <w:rFonts w:asciiTheme="minorHAnsi" w:hAnsiTheme="minorHAnsi" w:cstheme="minorHAnsi"/>
                <w:b/>
              </w:rPr>
              <w:t xml:space="preserve">Capacités exigibles de seconde </w:t>
            </w:r>
            <w:proofErr w:type="spellStart"/>
            <w:r>
              <w:rPr>
                <w:rFonts w:asciiTheme="minorHAnsi" w:hAnsiTheme="minorHAnsi" w:cstheme="minorHAnsi"/>
                <w:b/>
              </w:rPr>
              <w:t>remobilisables</w:t>
            </w:r>
            <w:proofErr w:type="spellEnd"/>
          </w:p>
        </w:tc>
        <w:tc>
          <w:tcPr>
            <w:tcW w:w="2799" w:type="dxa"/>
          </w:tcPr>
          <w:p w14:paraId="13923388" w14:textId="27635AD9" w:rsidR="00CA597E" w:rsidRDefault="00CA597E" w:rsidP="00CA597E">
            <w:r w:rsidRPr="000C5D32">
              <w:rPr>
                <w:rFonts w:asciiTheme="minorHAnsi" w:hAnsiTheme="minorHAnsi" w:cstheme="minorHAnsi"/>
                <w:b/>
              </w:rPr>
              <w:t>Saut</w:t>
            </w:r>
            <w:r>
              <w:rPr>
                <w:rFonts w:asciiTheme="minorHAnsi" w:hAnsiTheme="minorHAnsi" w:cstheme="minorHAnsi"/>
                <w:b/>
              </w:rPr>
              <w:t>s</w:t>
            </w:r>
            <w:r w:rsidRPr="000C5D32">
              <w:rPr>
                <w:rFonts w:asciiTheme="minorHAnsi" w:hAnsiTheme="minorHAnsi" w:cstheme="minorHAnsi"/>
                <w:b/>
              </w:rPr>
              <w:t xml:space="preserve"> conceptuel</w:t>
            </w:r>
            <w:r>
              <w:rPr>
                <w:rFonts w:asciiTheme="minorHAnsi" w:hAnsiTheme="minorHAnsi" w:cstheme="minorHAnsi"/>
                <w:b/>
              </w:rPr>
              <w:t xml:space="preserve">s </w:t>
            </w:r>
            <w:r w:rsidRPr="000C5D32">
              <w:rPr>
                <w:rFonts w:asciiTheme="minorHAnsi" w:hAnsiTheme="minorHAnsi" w:cstheme="minorHAnsi"/>
                <w:b/>
              </w:rPr>
              <w:t>en première</w:t>
            </w:r>
          </w:p>
        </w:tc>
        <w:tc>
          <w:tcPr>
            <w:tcW w:w="2799" w:type="dxa"/>
          </w:tcPr>
          <w:p w14:paraId="6ACFB5F4" w14:textId="29A0F82C" w:rsidR="00CA597E" w:rsidRDefault="00CA597E" w:rsidP="00CA597E">
            <w:r w:rsidRPr="007F4857">
              <w:rPr>
                <w:rFonts w:asciiTheme="minorHAnsi" w:hAnsiTheme="minorHAnsi" w:cstheme="minorHAnsi"/>
                <w:b/>
              </w:rPr>
              <w:t>Liens avec les programmes de spécialité</w:t>
            </w:r>
          </w:p>
        </w:tc>
      </w:tr>
      <w:tr w:rsidR="00A235C2" w14:paraId="29483394" w14:textId="77777777" w:rsidTr="00DA0F2D">
        <w:tc>
          <w:tcPr>
            <w:tcW w:w="3370" w:type="dxa"/>
          </w:tcPr>
          <w:p w14:paraId="6B2E4C12" w14:textId="4F06D5D3" w:rsidR="00A235C2" w:rsidRDefault="00A235C2" w:rsidP="00CA597E">
            <w:pPr>
              <w:pStyle w:val="Default"/>
              <w:rPr>
                <w:sz w:val="22"/>
                <w:szCs w:val="22"/>
              </w:rPr>
            </w:pPr>
            <w:r>
              <w:rPr>
                <w:sz w:val="22"/>
                <w:szCs w:val="22"/>
              </w:rPr>
              <w:t xml:space="preserve">L’oreille externe canalise les sons du milieu extérieur vers le tympan. Cette membrane vibrante transmet ces vibrations jusqu’à l’oreille interne par l’intermédiaire de l’oreille moyenne. </w:t>
            </w:r>
          </w:p>
        </w:tc>
        <w:tc>
          <w:tcPr>
            <w:tcW w:w="2799" w:type="dxa"/>
          </w:tcPr>
          <w:p w14:paraId="6A293F61" w14:textId="5445D645" w:rsidR="00A235C2" w:rsidRDefault="00A235C2" w:rsidP="00CA597E">
            <w:pPr>
              <w:pStyle w:val="Default"/>
              <w:rPr>
                <w:sz w:val="22"/>
                <w:szCs w:val="22"/>
              </w:rPr>
            </w:pPr>
            <w:r>
              <w:rPr>
                <w:sz w:val="22"/>
                <w:szCs w:val="22"/>
              </w:rPr>
              <w:t xml:space="preserve">Relier l’organisation de l’oreille externe et de l’oreille moyenne à la réception et la transmission de la vibration sonore. </w:t>
            </w:r>
          </w:p>
        </w:tc>
        <w:tc>
          <w:tcPr>
            <w:tcW w:w="2799" w:type="dxa"/>
            <w:vMerge w:val="restart"/>
            <w:shd w:val="clear" w:color="auto" w:fill="BDD6EE" w:themeFill="accent5" w:themeFillTint="66"/>
          </w:tcPr>
          <w:p w14:paraId="3AF52DB9" w14:textId="77777777" w:rsidR="00A235C2" w:rsidRPr="00DA7CDF" w:rsidRDefault="00A235C2" w:rsidP="00CA597E">
            <w:pPr>
              <w:rPr>
                <w:rFonts w:ascii="Cambria" w:hAnsi="Cambria"/>
                <w:sz w:val="22"/>
                <w:szCs w:val="22"/>
              </w:rPr>
            </w:pPr>
            <w:r w:rsidRPr="00DA7CDF">
              <w:rPr>
                <w:rFonts w:ascii="Cambria" w:hAnsi="Cambria"/>
                <w:b/>
                <w:sz w:val="22"/>
                <w:szCs w:val="22"/>
              </w:rPr>
              <w:t>Physique-chimie</w:t>
            </w:r>
            <w:r w:rsidRPr="00DA7CDF">
              <w:rPr>
                <w:rFonts w:ascii="Cambria" w:hAnsi="Cambria"/>
                <w:sz w:val="22"/>
                <w:szCs w:val="22"/>
              </w:rPr>
              <w:t> :</w:t>
            </w:r>
          </w:p>
          <w:p w14:paraId="6A2B51CC" w14:textId="77777777" w:rsidR="00A235C2" w:rsidRPr="00DA7CDF" w:rsidRDefault="00A235C2" w:rsidP="00714E16">
            <w:pPr>
              <w:pStyle w:val="Default"/>
              <w:rPr>
                <w:rFonts w:ascii="Cambria" w:hAnsi="Cambria"/>
                <w:sz w:val="22"/>
                <w:szCs w:val="22"/>
              </w:rPr>
            </w:pPr>
            <w:r w:rsidRPr="0E3BE76E">
              <w:rPr>
                <w:rFonts w:ascii="Cambria" w:hAnsi="Cambria"/>
                <w:sz w:val="22"/>
                <w:szCs w:val="22"/>
              </w:rPr>
              <w:t xml:space="preserve">Émission et propagation d'un signal sonore. </w:t>
            </w:r>
          </w:p>
          <w:p w14:paraId="57A44272" w14:textId="7D77A16F" w:rsidR="00A235C2" w:rsidRDefault="00A235C2" w:rsidP="0E3BE76E">
            <w:pPr>
              <w:pStyle w:val="Default"/>
              <w:rPr>
                <w:rFonts w:ascii="Cambria" w:hAnsi="Cambria"/>
                <w:sz w:val="22"/>
                <w:szCs w:val="22"/>
              </w:rPr>
            </w:pPr>
          </w:p>
          <w:p w14:paraId="327F36CC" w14:textId="77777777" w:rsidR="00A235C2" w:rsidRPr="00DA7CDF" w:rsidRDefault="00A235C2" w:rsidP="00714E16">
            <w:pPr>
              <w:pStyle w:val="Default"/>
              <w:rPr>
                <w:rFonts w:ascii="Cambria" w:hAnsi="Cambria"/>
                <w:sz w:val="22"/>
                <w:szCs w:val="22"/>
              </w:rPr>
            </w:pPr>
            <w:r w:rsidRPr="0E3BE76E">
              <w:rPr>
                <w:rFonts w:ascii="Cambria" w:hAnsi="Cambria"/>
                <w:sz w:val="22"/>
                <w:szCs w:val="22"/>
              </w:rPr>
              <w:t xml:space="preserve">Décrire le principe de l’émission d’un signal sonore par la mise en vibration d’un objet et l’intérêt de la présence d’une caisse de résonance. </w:t>
            </w:r>
          </w:p>
          <w:p w14:paraId="21958642" w14:textId="7DDC0F59" w:rsidR="00A235C2" w:rsidRDefault="00A235C2" w:rsidP="0E3BE76E">
            <w:pPr>
              <w:pStyle w:val="Default"/>
              <w:rPr>
                <w:rFonts w:ascii="Cambria" w:hAnsi="Cambria"/>
                <w:sz w:val="22"/>
                <w:szCs w:val="22"/>
              </w:rPr>
            </w:pPr>
          </w:p>
          <w:p w14:paraId="14D0D90D" w14:textId="30F5ABBA" w:rsidR="00A235C2" w:rsidRDefault="00A235C2" w:rsidP="00714E16">
            <w:pPr>
              <w:rPr>
                <w:rFonts w:ascii="Cambria" w:hAnsi="Cambria"/>
                <w:sz w:val="22"/>
                <w:szCs w:val="22"/>
              </w:rPr>
            </w:pPr>
            <w:r w:rsidRPr="00DA7CDF">
              <w:rPr>
                <w:rFonts w:ascii="Cambria" w:hAnsi="Cambria"/>
                <w:sz w:val="22"/>
                <w:szCs w:val="22"/>
              </w:rPr>
              <w:t xml:space="preserve">Expliquer le rôle joué par le milieu matériel dans le phénomène de propagation d’un signal sonore. </w:t>
            </w:r>
          </w:p>
          <w:p w14:paraId="5BC9DC14" w14:textId="77777777" w:rsidR="00A235C2" w:rsidRPr="00DA7CDF" w:rsidRDefault="00A235C2" w:rsidP="00714E16">
            <w:pPr>
              <w:rPr>
                <w:rFonts w:ascii="Cambria" w:hAnsi="Cambria"/>
                <w:sz w:val="22"/>
                <w:szCs w:val="22"/>
              </w:rPr>
            </w:pPr>
          </w:p>
          <w:p w14:paraId="2B237940" w14:textId="77777777" w:rsidR="00A235C2" w:rsidRPr="00DA7CDF" w:rsidRDefault="00A235C2" w:rsidP="00714E16">
            <w:pPr>
              <w:pStyle w:val="Default"/>
              <w:rPr>
                <w:rFonts w:ascii="Cambria" w:hAnsi="Cambria"/>
                <w:sz w:val="22"/>
                <w:szCs w:val="22"/>
              </w:rPr>
            </w:pPr>
            <w:r w:rsidRPr="00DA7CDF">
              <w:rPr>
                <w:rFonts w:ascii="Cambria" w:hAnsi="Cambria"/>
                <w:sz w:val="22"/>
                <w:szCs w:val="22"/>
              </w:rPr>
              <w:lastRenderedPageBreak/>
              <w:t xml:space="preserve">Citer les domaines de fréquences des sons audibles, des infrasons et des ultrasons. </w:t>
            </w:r>
          </w:p>
          <w:p w14:paraId="0AEF6891" w14:textId="77777777" w:rsidR="00A235C2" w:rsidRPr="00DA7CDF" w:rsidRDefault="00A235C2" w:rsidP="00CA597E">
            <w:pPr>
              <w:rPr>
                <w:rFonts w:ascii="Cambria" w:hAnsi="Cambria"/>
                <w:sz w:val="22"/>
                <w:szCs w:val="22"/>
              </w:rPr>
            </w:pPr>
          </w:p>
          <w:p w14:paraId="1D8B2DC3" w14:textId="05C398D3" w:rsidR="00A235C2" w:rsidRDefault="00A235C2" w:rsidP="00DA7CDF">
            <w:pPr>
              <w:pStyle w:val="Default"/>
              <w:rPr>
                <w:rFonts w:ascii="Cambria" w:hAnsi="Cambria"/>
                <w:sz w:val="22"/>
                <w:szCs w:val="22"/>
              </w:rPr>
            </w:pPr>
            <w:r w:rsidRPr="00DA7CDF">
              <w:rPr>
                <w:rFonts w:ascii="Cambria" w:hAnsi="Cambria"/>
                <w:sz w:val="22"/>
                <w:szCs w:val="22"/>
              </w:rPr>
              <w:t xml:space="preserve">Exploiter une échelle de niveau d’intensité sonore et citer les dangers inhérents à l’exposition sonore. </w:t>
            </w:r>
          </w:p>
          <w:p w14:paraId="3BCA7992" w14:textId="61A6A23D" w:rsidR="00BE3D04" w:rsidRDefault="00BE3D04" w:rsidP="00DA7CDF">
            <w:pPr>
              <w:pStyle w:val="Default"/>
              <w:rPr>
                <w:rFonts w:ascii="Cambria" w:hAnsi="Cambria"/>
                <w:sz w:val="22"/>
                <w:szCs w:val="22"/>
              </w:rPr>
            </w:pPr>
          </w:p>
          <w:p w14:paraId="4F25691B" w14:textId="77777777" w:rsidR="00BE3D04" w:rsidRPr="00BE3D04" w:rsidRDefault="00BE3D04" w:rsidP="00DA7CDF">
            <w:pPr>
              <w:pStyle w:val="Default"/>
              <w:rPr>
                <w:rFonts w:ascii="Cambria" w:hAnsi="Cambria"/>
                <w:sz w:val="22"/>
                <w:szCs w:val="22"/>
              </w:rPr>
            </w:pPr>
          </w:p>
          <w:p w14:paraId="4F11B677" w14:textId="77777777" w:rsidR="00A77D6F" w:rsidRPr="00881705" w:rsidRDefault="00A77D6F" w:rsidP="00A77D6F">
            <w:pPr>
              <w:pStyle w:val="Default"/>
              <w:rPr>
                <w:rFonts w:ascii="Cambria" w:hAnsi="Cambria"/>
                <w:b/>
                <w:color w:val="538135" w:themeColor="accent6" w:themeShade="BF"/>
                <w:sz w:val="22"/>
                <w:szCs w:val="22"/>
              </w:rPr>
            </w:pPr>
            <w:r w:rsidRPr="00881705">
              <w:rPr>
                <w:rFonts w:ascii="Cambria" w:hAnsi="Cambria"/>
                <w:b/>
                <w:color w:val="538135" w:themeColor="accent6" w:themeShade="BF"/>
                <w:sz w:val="22"/>
                <w:szCs w:val="22"/>
              </w:rPr>
              <w:t>SVT</w:t>
            </w:r>
          </w:p>
          <w:p w14:paraId="7591CAD2" w14:textId="77777777" w:rsidR="00A77D6F" w:rsidRPr="00881705" w:rsidRDefault="00A77D6F" w:rsidP="00A77D6F">
            <w:pPr>
              <w:widowControl/>
              <w:kinsoku/>
              <w:autoSpaceDE w:val="0"/>
              <w:autoSpaceDN w:val="0"/>
              <w:adjustRightInd w:val="0"/>
              <w:rPr>
                <w:rFonts w:ascii="Cambria" w:eastAsiaTheme="minorHAnsi" w:hAnsi="Cambria" w:cs="Arial"/>
                <w:color w:val="538135" w:themeColor="accent6" w:themeShade="BF"/>
                <w:sz w:val="22"/>
                <w:szCs w:val="22"/>
                <w:lang w:eastAsia="en-US"/>
              </w:rPr>
            </w:pPr>
            <w:r w:rsidRPr="00881705">
              <w:rPr>
                <w:rFonts w:ascii="Cambria" w:eastAsiaTheme="minorHAnsi" w:hAnsi="Cambria" w:cs="Arial"/>
                <w:color w:val="538135" w:themeColor="accent6" w:themeShade="BF"/>
                <w:sz w:val="22"/>
                <w:szCs w:val="22"/>
                <w:lang w:eastAsia="en-US"/>
              </w:rPr>
              <w:t xml:space="preserve">Notion d’aire cérébrale </w:t>
            </w:r>
          </w:p>
          <w:p w14:paraId="4B715B5B" w14:textId="0FAFA9C6" w:rsidR="00A235C2" w:rsidRPr="00DA7CDF" w:rsidRDefault="00A235C2" w:rsidP="00CA597E">
            <w:pPr>
              <w:rPr>
                <w:rFonts w:ascii="Cambria" w:hAnsi="Cambria"/>
                <w:sz w:val="22"/>
                <w:szCs w:val="22"/>
              </w:rPr>
            </w:pPr>
          </w:p>
        </w:tc>
        <w:tc>
          <w:tcPr>
            <w:tcW w:w="2799" w:type="dxa"/>
            <w:vMerge w:val="restart"/>
          </w:tcPr>
          <w:p w14:paraId="56CA9A35" w14:textId="77777777" w:rsidR="00A235C2" w:rsidRDefault="00A235C2" w:rsidP="00CA597E"/>
        </w:tc>
        <w:tc>
          <w:tcPr>
            <w:tcW w:w="2799" w:type="dxa"/>
            <w:vMerge w:val="restart"/>
          </w:tcPr>
          <w:p w14:paraId="358ACF87" w14:textId="77777777" w:rsidR="00A235C2" w:rsidRDefault="00A235C2" w:rsidP="00CA597E"/>
        </w:tc>
      </w:tr>
      <w:tr w:rsidR="00A235C2" w14:paraId="14FEBFE9" w14:textId="77777777" w:rsidTr="00DA0F2D">
        <w:tc>
          <w:tcPr>
            <w:tcW w:w="3370" w:type="dxa"/>
          </w:tcPr>
          <w:p w14:paraId="1639EE02" w14:textId="77777777" w:rsidR="00A235C2" w:rsidRDefault="00A235C2" w:rsidP="00CA597E">
            <w:pPr>
              <w:pStyle w:val="Default"/>
              <w:rPr>
                <w:sz w:val="22"/>
                <w:szCs w:val="22"/>
              </w:rPr>
            </w:pPr>
            <w:r>
              <w:rPr>
                <w:sz w:val="22"/>
                <w:szCs w:val="22"/>
              </w:rPr>
              <w:t xml:space="preserve">L’être humain peut percevoir des sons de niveaux d’intensité approximativement compris entre 0 et 120 dB. </w:t>
            </w:r>
          </w:p>
          <w:p w14:paraId="476C8D81" w14:textId="77777777" w:rsidR="00A235C2" w:rsidRDefault="00A235C2" w:rsidP="00CA597E">
            <w:pPr>
              <w:pStyle w:val="Default"/>
              <w:rPr>
                <w:sz w:val="22"/>
                <w:szCs w:val="22"/>
              </w:rPr>
            </w:pPr>
            <w:r>
              <w:rPr>
                <w:sz w:val="22"/>
                <w:szCs w:val="22"/>
              </w:rPr>
              <w:t xml:space="preserve">Les sons audibles par les humains ont des fréquences comprises entre 20 et 20 000 Hz. </w:t>
            </w:r>
          </w:p>
          <w:p w14:paraId="2A7D7258" w14:textId="77777777" w:rsidR="00A235C2" w:rsidRDefault="00A235C2" w:rsidP="00CA597E">
            <w:pPr>
              <w:pStyle w:val="Default"/>
              <w:rPr>
                <w:sz w:val="22"/>
                <w:szCs w:val="22"/>
              </w:rPr>
            </w:pPr>
            <w:r>
              <w:rPr>
                <w:sz w:val="22"/>
                <w:szCs w:val="22"/>
              </w:rPr>
              <w:t xml:space="preserve">Dans l’oreille interne, des structures cellulaires (cils vibratiles) entrent en résonance </w:t>
            </w:r>
            <w:r>
              <w:rPr>
                <w:sz w:val="22"/>
                <w:szCs w:val="22"/>
              </w:rPr>
              <w:lastRenderedPageBreak/>
              <w:t xml:space="preserve">avec les vibrations reçues et les traduisent en un message nerveux qui se dirige vers le cerveau. </w:t>
            </w:r>
          </w:p>
          <w:p w14:paraId="6A0FC7C7" w14:textId="299863B3" w:rsidR="00A235C2" w:rsidRDefault="00A235C2" w:rsidP="00CA597E">
            <w:pPr>
              <w:pStyle w:val="Default"/>
              <w:rPr>
                <w:sz w:val="22"/>
                <w:szCs w:val="22"/>
              </w:rPr>
            </w:pPr>
            <w:r>
              <w:rPr>
                <w:sz w:val="22"/>
                <w:szCs w:val="22"/>
              </w:rPr>
              <w:t xml:space="preserve">Les cils vibratiles sont fragiles et facilement endommagés par des sons trop intenses. Les dégâts sont alors irréversibles et peuvent causer une surdité. </w:t>
            </w:r>
          </w:p>
        </w:tc>
        <w:tc>
          <w:tcPr>
            <w:tcW w:w="2799" w:type="dxa"/>
          </w:tcPr>
          <w:p w14:paraId="563599AD" w14:textId="77777777" w:rsidR="00A235C2" w:rsidRDefault="00A235C2" w:rsidP="00CA597E">
            <w:pPr>
              <w:pStyle w:val="Default"/>
              <w:rPr>
                <w:sz w:val="22"/>
                <w:szCs w:val="22"/>
              </w:rPr>
            </w:pPr>
            <w:r>
              <w:rPr>
                <w:sz w:val="22"/>
                <w:szCs w:val="22"/>
              </w:rPr>
              <w:lastRenderedPageBreak/>
              <w:t xml:space="preserve">Relier la structure des cellules ciliées à la perception du son et à la fragilité du système auditif. </w:t>
            </w:r>
          </w:p>
          <w:p w14:paraId="7A6FFB1A" w14:textId="61555EE8" w:rsidR="00A235C2" w:rsidRDefault="00A235C2" w:rsidP="00CA597E">
            <w:pPr>
              <w:pStyle w:val="Default"/>
              <w:rPr>
                <w:sz w:val="22"/>
                <w:szCs w:val="22"/>
              </w:rPr>
            </w:pPr>
            <w:r>
              <w:rPr>
                <w:sz w:val="22"/>
                <w:szCs w:val="22"/>
              </w:rPr>
              <w:t xml:space="preserve">Relier l’intensité du son au risque encouru par l’oreille interne. </w:t>
            </w:r>
          </w:p>
        </w:tc>
        <w:tc>
          <w:tcPr>
            <w:tcW w:w="2799" w:type="dxa"/>
            <w:vMerge/>
          </w:tcPr>
          <w:p w14:paraId="3500FE2C" w14:textId="5136C28D" w:rsidR="00A235C2" w:rsidRPr="00DA7CDF" w:rsidRDefault="00A235C2" w:rsidP="00CA597E">
            <w:pPr>
              <w:rPr>
                <w:rFonts w:ascii="Cambria" w:hAnsi="Cambria"/>
                <w:sz w:val="22"/>
                <w:szCs w:val="22"/>
              </w:rPr>
            </w:pPr>
          </w:p>
        </w:tc>
        <w:tc>
          <w:tcPr>
            <w:tcW w:w="2799" w:type="dxa"/>
            <w:vMerge/>
          </w:tcPr>
          <w:p w14:paraId="02239CDA" w14:textId="77777777" w:rsidR="00A235C2" w:rsidRDefault="00A235C2" w:rsidP="00CA597E"/>
        </w:tc>
        <w:tc>
          <w:tcPr>
            <w:tcW w:w="2799" w:type="dxa"/>
            <w:vMerge/>
          </w:tcPr>
          <w:p w14:paraId="2B4519E2" w14:textId="77777777" w:rsidR="00A235C2" w:rsidRDefault="00A235C2" w:rsidP="00CA597E"/>
        </w:tc>
      </w:tr>
      <w:tr w:rsidR="00A235C2" w14:paraId="751485EF" w14:textId="77777777" w:rsidTr="00DA0F2D">
        <w:tc>
          <w:tcPr>
            <w:tcW w:w="3370" w:type="dxa"/>
          </w:tcPr>
          <w:p w14:paraId="3BA3CA68" w14:textId="5BC43767" w:rsidR="00A235C2" w:rsidRDefault="00A235C2" w:rsidP="00E353D6">
            <w:pPr>
              <w:pStyle w:val="Default"/>
              <w:rPr>
                <w:sz w:val="22"/>
                <w:szCs w:val="22"/>
              </w:rPr>
            </w:pPr>
            <w:r>
              <w:rPr>
                <w:sz w:val="22"/>
                <w:szCs w:val="22"/>
              </w:rPr>
              <w:t>Des aires cérébrales spécialisées reçoivent les messages nerveux auditifs. Certaines permettent, après apprentissage, l’interprétation de l’univers sonore (parole, voix, musique, etc.).</w:t>
            </w:r>
          </w:p>
        </w:tc>
        <w:tc>
          <w:tcPr>
            <w:tcW w:w="2799" w:type="dxa"/>
          </w:tcPr>
          <w:p w14:paraId="1598BE37" w14:textId="118E44A3" w:rsidR="00A235C2" w:rsidRDefault="00A235C2" w:rsidP="00E353D6">
            <w:pPr>
              <w:pStyle w:val="Default"/>
              <w:rPr>
                <w:sz w:val="22"/>
                <w:szCs w:val="22"/>
              </w:rPr>
            </w:pPr>
            <w:r>
              <w:rPr>
                <w:sz w:val="22"/>
                <w:szCs w:val="22"/>
              </w:rPr>
              <w:t>Interpréter des données d’imagerie cérébrale relatives au traitement de l’information sonore.</w:t>
            </w:r>
          </w:p>
        </w:tc>
        <w:tc>
          <w:tcPr>
            <w:tcW w:w="2799" w:type="dxa"/>
            <w:vMerge/>
          </w:tcPr>
          <w:p w14:paraId="1FC613EE" w14:textId="77777777" w:rsidR="00A235C2" w:rsidRDefault="00A235C2" w:rsidP="00A235C2"/>
        </w:tc>
        <w:tc>
          <w:tcPr>
            <w:tcW w:w="2799" w:type="dxa"/>
            <w:vMerge/>
          </w:tcPr>
          <w:p w14:paraId="0CF76409" w14:textId="77777777" w:rsidR="00A235C2" w:rsidRDefault="00A235C2" w:rsidP="00A235C2"/>
        </w:tc>
        <w:tc>
          <w:tcPr>
            <w:tcW w:w="2799" w:type="dxa"/>
            <w:vMerge/>
          </w:tcPr>
          <w:p w14:paraId="09C56731" w14:textId="77777777" w:rsidR="00A235C2" w:rsidRDefault="00A235C2" w:rsidP="00A235C2"/>
        </w:tc>
      </w:tr>
      <w:tr w:rsidR="00CA597E" w14:paraId="0263F4E8" w14:textId="77777777" w:rsidTr="00DA0F2D">
        <w:tc>
          <w:tcPr>
            <w:tcW w:w="14566"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14350"/>
            </w:tblGrid>
            <w:tr w:rsidR="00CA597E" w:rsidRPr="00CA597E" w14:paraId="0A617A98" w14:textId="77777777" w:rsidTr="00DA0F2D">
              <w:trPr>
                <w:trHeight w:val="757"/>
              </w:trPr>
              <w:tc>
                <w:tcPr>
                  <w:tcW w:w="14350" w:type="dxa"/>
                </w:tcPr>
                <w:p w14:paraId="0B6455D5" w14:textId="77777777" w:rsidR="00CA597E" w:rsidRPr="00CA597E" w:rsidRDefault="00CA597E" w:rsidP="00CA597E">
                  <w:pPr>
                    <w:widowControl/>
                    <w:kinsoku/>
                    <w:autoSpaceDE w:val="0"/>
                    <w:autoSpaceDN w:val="0"/>
                    <w:adjustRightInd w:val="0"/>
                    <w:rPr>
                      <w:rFonts w:ascii="Arial" w:eastAsiaTheme="minorHAnsi" w:hAnsi="Arial" w:cs="Arial"/>
                      <w:color w:val="000000"/>
                      <w:sz w:val="22"/>
                      <w:szCs w:val="22"/>
                      <w:lang w:eastAsia="en-US"/>
                    </w:rPr>
                  </w:pPr>
                  <w:r w:rsidRPr="00CA597E">
                    <w:rPr>
                      <w:rFonts w:ascii="Arial" w:eastAsiaTheme="minorHAnsi" w:hAnsi="Arial" w:cs="Arial"/>
                      <w:b/>
                      <w:bCs/>
                      <w:color w:val="000000"/>
                      <w:sz w:val="22"/>
                      <w:szCs w:val="22"/>
                      <w:lang w:eastAsia="en-US"/>
                    </w:rPr>
                    <w:t xml:space="preserve">Prérequis et limites </w:t>
                  </w:r>
                </w:p>
                <w:p w14:paraId="233D869A" w14:textId="77777777" w:rsidR="00CA597E" w:rsidRPr="00CA597E" w:rsidRDefault="00CA597E" w:rsidP="00CA597E">
                  <w:pPr>
                    <w:widowControl/>
                    <w:kinsoku/>
                    <w:autoSpaceDE w:val="0"/>
                    <w:autoSpaceDN w:val="0"/>
                    <w:adjustRightInd w:val="0"/>
                    <w:rPr>
                      <w:rFonts w:ascii="Arial" w:eastAsiaTheme="minorHAnsi" w:hAnsi="Arial" w:cs="Arial"/>
                      <w:color w:val="000000"/>
                      <w:sz w:val="22"/>
                      <w:szCs w:val="22"/>
                      <w:lang w:eastAsia="en-US"/>
                    </w:rPr>
                  </w:pPr>
                  <w:r w:rsidRPr="00CA597E">
                    <w:rPr>
                      <w:rFonts w:ascii="Arial" w:eastAsiaTheme="minorHAnsi" w:hAnsi="Arial" w:cs="Arial"/>
                      <w:color w:val="000000"/>
                      <w:sz w:val="22"/>
                      <w:szCs w:val="22"/>
                      <w:lang w:eastAsia="en-US"/>
                    </w:rPr>
                    <w:t xml:space="preserve">La connaissance approfondie de la physiologie de l’audition n’est pas l’objectif du programme. En particulier, les modalités de transduction de la vibration auditive en message nerveux ne sont pas exigibles. Il s’agit simplement de présenter dans ses grandes lignes le passage du phénomène physique du son à la sensibilité auditive consciente, en faisant apparaître les rôles respectifs de l’oreille et du cerveau. </w:t>
                  </w:r>
                </w:p>
              </w:tc>
            </w:tr>
          </w:tbl>
          <w:p w14:paraId="757E1E79" w14:textId="77777777" w:rsidR="00CA597E" w:rsidRDefault="00CA597E" w:rsidP="00CA597E"/>
        </w:tc>
      </w:tr>
    </w:tbl>
    <w:p w14:paraId="1579359F" w14:textId="660AE11D" w:rsidR="00F81B10" w:rsidRDefault="00F81B10"/>
    <w:p w14:paraId="4A6AF2E5" w14:textId="77777777" w:rsidR="00F81B10" w:rsidRDefault="00F81B10"/>
    <w:p w14:paraId="0D462D4F" w14:textId="5844F78E" w:rsidR="00AB6432" w:rsidRDefault="00AB6432"/>
    <w:p w14:paraId="68D9E3D7" w14:textId="0A06A678" w:rsidR="00AB6432" w:rsidRDefault="00AB6432"/>
    <w:p w14:paraId="3C2D0AA2" w14:textId="26FDB5CE" w:rsidR="00AB6432" w:rsidRDefault="00AB6432"/>
    <w:p w14:paraId="712B415B" w14:textId="77777777" w:rsidR="000C5D32" w:rsidRDefault="000C5D32"/>
    <w:sectPr w:rsidR="000C5D32" w:rsidSect="000C5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C367" w14:textId="77777777" w:rsidR="008F7C00" w:rsidRDefault="008F7C00" w:rsidP="000C5D32">
      <w:r>
        <w:separator/>
      </w:r>
    </w:p>
  </w:endnote>
  <w:endnote w:type="continuationSeparator" w:id="0">
    <w:p w14:paraId="5167F988" w14:textId="77777777" w:rsidR="008F7C00" w:rsidRDefault="008F7C00" w:rsidP="000C5D32">
      <w:r>
        <w:continuationSeparator/>
      </w:r>
    </w:p>
  </w:endnote>
  <w:endnote w:type="continuationNotice" w:id="1">
    <w:p w14:paraId="07B426FD" w14:textId="77777777" w:rsidR="008F7C00" w:rsidRDefault="008F7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4BF0" w14:textId="77777777" w:rsidR="008F7C00" w:rsidRDefault="008F7C00" w:rsidP="000C5D32">
      <w:r>
        <w:separator/>
      </w:r>
    </w:p>
  </w:footnote>
  <w:footnote w:type="continuationSeparator" w:id="0">
    <w:p w14:paraId="0A7F5716" w14:textId="77777777" w:rsidR="008F7C00" w:rsidRDefault="008F7C00" w:rsidP="000C5D32">
      <w:r>
        <w:continuationSeparator/>
      </w:r>
    </w:p>
  </w:footnote>
  <w:footnote w:type="continuationNotice" w:id="1">
    <w:p w14:paraId="4CA6FB41" w14:textId="77777777" w:rsidR="008F7C00" w:rsidRDefault="008F7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F8E"/>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07685730"/>
    <w:multiLevelType w:val="multilevel"/>
    <w:tmpl w:val="13FE56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D20E56"/>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15:restartNumberingAfterBreak="0">
    <w:nsid w:val="33370252"/>
    <w:multiLevelType w:val="hybridMultilevel"/>
    <w:tmpl w:val="4104A628"/>
    <w:lvl w:ilvl="0" w:tplc="CAE6613E">
      <w:start w:val="1"/>
      <w:numFmt w:val="decimal"/>
      <w:lvlText w:val="%1."/>
      <w:lvlJc w:val="left"/>
      <w:pPr>
        <w:ind w:left="720" w:hanging="360"/>
      </w:pPr>
    </w:lvl>
    <w:lvl w:ilvl="1" w:tplc="22F43E9C">
      <w:start w:val="1"/>
      <w:numFmt w:val="lowerLetter"/>
      <w:lvlText w:val="%2."/>
      <w:lvlJc w:val="left"/>
      <w:pPr>
        <w:ind w:left="1440" w:hanging="360"/>
      </w:pPr>
    </w:lvl>
    <w:lvl w:ilvl="2" w:tplc="459008B0">
      <w:start w:val="1"/>
      <w:numFmt w:val="lowerRoman"/>
      <w:lvlText w:val="%3."/>
      <w:lvlJc w:val="right"/>
      <w:pPr>
        <w:ind w:left="2160" w:hanging="180"/>
      </w:pPr>
    </w:lvl>
    <w:lvl w:ilvl="3" w:tplc="B1A6D168">
      <w:start w:val="1"/>
      <w:numFmt w:val="decimal"/>
      <w:lvlText w:val="%4."/>
      <w:lvlJc w:val="left"/>
      <w:pPr>
        <w:ind w:left="2880" w:hanging="360"/>
      </w:pPr>
    </w:lvl>
    <w:lvl w:ilvl="4" w:tplc="29227C3A">
      <w:start w:val="1"/>
      <w:numFmt w:val="lowerLetter"/>
      <w:lvlText w:val="%5."/>
      <w:lvlJc w:val="left"/>
      <w:pPr>
        <w:ind w:left="3600" w:hanging="360"/>
      </w:pPr>
    </w:lvl>
    <w:lvl w:ilvl="5" w:tplc="364C8AAC">
      <w:start w:val="1"/>
      <w:numFmt w:val="lowerRoman"/>
      <w:lvlText w:val="%6."/>
      <w:lvlJc w:val="right"/>
      <w:pPr>
        <w:ind w:left="4320" w:hanging="180"/>
      </w:pPr>
    </w:lvl>
    <w:lvl w:ilvl="6" w:tplc="57BACC24">
      <w:start w:val="1"/>
      <w:numFmt w:val="decimal"/>
      <w:lvlText w:val="%7."/>
      <w:lvlJc w:val="left"/>
      <w:pPr>
        <w:ind w:left="5040" w:hanging="360"/>
      </w:pPr>
    </w:lvl>
    <w:lvl w:ilvl="7" w:tplc="2F4001E6">
      <w:start w:val="1"/>
      <w:numFmt w:val="lowerLetter"/>
      <w:lvlText w:val="%8."/>
      <w:lvlJc w:val="left"/>
      <w:pPr>
        <w:ind w:left="5760" w:hanging="360"/>
      </w:pPr>
    </w:lvl>
    <w:lvl w:ilvl="8" w:tplc="209C6282">
      <w:start w:val="1"/>
      <w:numFmt w:val="lowerRoman"/>
      <w:lvlText w:val="%9."/>
      <w:lvlJc w:val="right"/>
      <w:pPr>
        <w:ind w:left="6480" w:hanging="180"/>
      </w:pPr>
    </w:lvl>
  </w:abstractNum>
  <w:abstractNum w:abstractNumId="4" w15:restartNumberingAfterBreak="0">
    <w:nsid w:val="4DCE1526"/>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6B1E373C"/>
    <w:multiLevelType w:val="multilevel"/>
    <w:tmpl w:val="1A101D26"/>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749664FE"/>
    <w:multiLevelType w:val="hybridMultilevel"/>
    <w:tmpl w:val="822674AA"/>
    <w:lvl w:ilvl="0" w:tplc="376EFC0A">
      <w:start w:val="1"/>
      <w:numFmt w:val="decimal"/>
      <w:lvlText w:val="%1."/>
      <w:lvlJc w:val="left"/>
      <w:pPr>
        <w:ind w:left="720" w:hanging="360"/>
      </w:pPr>
    </w:lvl>
    <w:lvl w:ilvl="1" w:tplc="A39C29CA">
      <w:start w:val="1"/>
      <w:numFmt w:val="lowerLetter"/>
      <w:lvlText w:val="%2."/>
      <w:lvlJc w:val="left"/>
      <w:pPr>
        <w:ind w:left="1440" w:hanging="360"/>
      </w:pPr>
    </w:lvl>
    <w:lvl w:ilvl="2" w:tplc="757EDB6A">
      <w:start w:val="1"/>
      <w:numFmt w:val="lowerRoman"/>
      <w:lvlText w:val="%3."/>
      <w:lvlJc w:val="right"/>
      <w:pPr>
        <w:ind w:left="2160" w:hanging="180"/>
      </w:pPr>
    </w:lvl>
    <w:lvl w:ilvl="3" w:tplc="F75AF556">
      <w:start w:val="1"/>
      <w:numFmt w:val="decimal"/>
      <w:lvlText w:val="%4."/>
      <w:lvlJc w:val="left"/>
      <w:pPr>
        <w:ind w:left="2880" w:hanging="360"/>
      </w:pPr>
    </w:lvl>
    <w:lvl w:ilvl="4" w:tplc="76C0391A">
      <w:start w:val="1"/>
      <w:numFmt w:val="lowerLetter"/>
      <w:lvlText w:val="%5."/>
      <w:lvlJc w:val="left"/>
      <w:pPr>
        <w:ind w:left="3600" w:hanging="360"/>
      </w:pPr>
    </w:lvl>
    <w:lvl w:ilvl="5" w:tplc="156C3E3A">
      <w:start w:val="1"/>
      <w:numFmt w:val="lowerRoman"/>
      <w:lvlText w:val="%6."/>
      <w:lvlJc w:val="right"/>
      <w:pPr>
        <w:ind w:left="4320" w:hanging="180"/>
      </w:pPr>
    </w:lvl>
    <w:lvl w:ilvl="6" w:tplc="9BA48F5A">
      <w:start w:val="1"/>
      <w:numFmt w:val="decimal"/>
      <w:lvlText w:val="%7."/>
      <w:lvlJc w:val="left"/>
      <w:pPr>
        <w:ind w:left="5040" w:hanging="360"/>
      </w:pPr>
    </w:lvl>
    <w:lvl w:ilvl="7" w:tplc="FA08A280">
      <w:start w:val="1"/>
      <w:numFmt w:val="lowerLetter"/>
      <w:lvlText w:val="%8."/>
      <w:lvlJc w:val="left"/>
      <w:pPr>
        <w:ind w:left="5760" w:hanging="360"/>
      </w:pPr>
    </w:lvl>
    <w:lvl w:ilvl="8" w:tplc="76762A46">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32"/>
    <w:rsid w:val="00000322"/>
    <w:rsid w:val="00000A2D"/>
    <w:rsid w:val="0000123F"/>
    <w:rsid w:val="00020342"/>
    <w:rsid w:val="00021601"/>
    <w:rsid w:val="0002269E"/>
    <w:rsid w:val="00024228"/>
    <w:rsid w:val="00024674"/>
    <w:rsid w:val="00025696"/>
    <w:rsid w:val="00030CEC"/>
    <w:rsid w:val="00031DC8"/>
    <w:rsid w:val="000327CB"/>
    <w:rsid w:val="00033142"/>
    <w:rsid w:val="000401A9"/>
    <w:rsid w:val="00041CA4"/>
    <w:rsid w:val="000426DA"/>
    <w:rsid w:val="00043EC9"/>
    <w:rsid w:val="000442EA"/>
    <w:rsid w:val="00044FCC"/>
    <w:rsid w:val="00047EF1"/>
    <w:rsid w:val="00050434"/>
    <w:rsid w:val="000505F0"/>
    <w:rsid w:val="00060E44"/>
    <w:rsid w:val="00061121"/>
    <w:rsid w:val="00061366"/>
    <w:rsid w:val="00062A27"/>
    <w:rsid w:val="00062CD6"/>
    <w:rsid w:val="00066013"/>
    <w:rsid w:val="000773AF"/>
    <w:rsid w:val="00077C10"/>
    <w:rsid w:val="0008504C"/>
    <w:rsid w:val="00086633"/>
    <w:rsid w:val="00096D67"/>
    <w:rsid w:val="00097E43"/>
    <w:rsid w:val="000A019D"/>
    <w:rsid w:val="000A10F9"/>
    <w:rsid w:val="000B07E4"/>
    <w:rsid w:val="000B21B3"/>
    <w:rsid w:val="000B4B66"/>
    <w:rsid w:val="000B519D"/>
    <w:rsid w:val="000B7989"/>
    <w:rsid w:val="000C4BE4"/>
    <w:rsid w:val="000C528B"/>
    <w:rsid w:val="000C5D32"/>
    <w:rsid w:val="000C60FB"/>
    <w:rsid w:val="000D2F8B"/>
    <w:rsid w:val="000D4261"/>
    <w:rsid w:val="000E13D3"/>
    <w:rsid w:val="000E28F2"/>
    <w:rsid w:val="000E6BF0"/>
    <w:rsid w:val="000F1C43"/>
    <w:rsid w:val="000F3E10"/>
    <w:rsid w:val="000F4182"/>
    <w:rsid w:val="000F5CD9"/>
    <w:rsid w:val="001018E8"/>
    <w:rsid w:val="001104EF"/>
    <w:rsid w:val="00112BFF"/>
    <w:rsid w:val="00117C07"/>
    <w:rsid w:val="001248AA"/>
    <w:rsid w:val="001266D7"/>
    <w:rsid w:val="00130E55"/>
    <w:rsid w:val="00136803"/>
    <w:rsid w:val="00142A65"/>
    <w:rsid w:val="0014385A"/>
    <w:rsid w:val="00144103"/>
    <w:rsid w:val="001612C9"/>
    <w:rsid w:val="00163FA3"/>
    <w:rsid w:val="00166004"/>
    <w:rsid w:val="0017215B"/>
    <w:rsid w:val="00174F5B"/>
    <w:rsid w:val="00175BDC"/>
    <w:rsid w:val="00177734"/>
    <w:rsid w:val="00177DA6"/>
    <w:rsid w:val="00180B72"/>
    <w:rsid w:val="00184EB9"/>
    <w:rsid w:val="0018776D"/>
    <w:rsid w:val="0019018A"/>
    <w:rsid w:val="00190FD1"/>
    <w:rsid w:val="00195B68"/>
    <w:rsid w:val="001A54A7"/>
    <w:rsid w:val="001B1437"/>
    <w:rsid w:val="001C7074"/>
    <w:rsid w:val="001D22A2"/>
    <w:rsid w:val="001D3D64"/>
    <w:rsid w:val="001D4799"/>
    <w:rsid w:val="001E1779"/>
    <w:rsid w:val="001E2043"/>
    <w:rsid w:val="001E2116"/>
    <w:rsid w:val="001E3CCC"/>
    <w:rsid w:val="001E54E6"/>
    <w:rsid w:val="001E74F8"/>
    <w:rsid w:val="001F2032"/>
    <w:rsid w:val="001F2B1E"/>
    <w:rsid w:val="001F4342"/>
    <w:rsid w:val="001F6ED1"/>
    <w:rsid w:val="00210A9C"/>
    <w:rsid w:val="0021222B"/>
    <w:rsid w:val="00214B52"/>
    <w:rsid w:val="00216147"/>
    <w:rsid w:val="00222FCD"/>
    <w:rsid w:val="0022323F"/>
    <w:rsid w:val="00223FC8"/>
    <w:rsid w:val="002244C4"/>
    <w:rsid w:val="00224B4E"/>
    <w:rsid w:val="00225C69"/>
    <w:rsid w:val="00231A1D"/>
    <w:rsid w:val="00231A8A"/>
    <w:rsid w:val="002337DD"/>
    <w:rsid w:val="00237CE4"/>
    <w:rsid w:val="00240C75"/>
    <w:rsid w:val="00244FF6"/>
    <w:rsid w:val="00246CE1"/>
    <w:rsid w:val="00246E09"/>
    <w:rsid w:val="00247AF1"/>
    <w:rsid w:val="002514D3"/>
    <w:rsid w:val="002519D9"/>
    <w:rsid w:val="0025272F"/>
    <w:rsid w:val="00252F98"/>
    <w:rsid w:val="00254BF0"/>
    <w:rsid w:val="002646E8"/>
    <w:rsid w:val="00273035"/>
    <w:rsid w:val="00280301"/>
    <w:rsid w:val="00280C11"/>
    <w:rsid w:val="0028244C"/>
    <w:rsid w:val="00282747"/>
    <w:rsid w:val="00286B0D"/>
    <w:rsid w:val="00290CDB"/>
    <w:rsid w:val="00291296"/>
    <w:rsid w:val="002949B5"/>
    <w:rsid w:val="002A07AA"/>
    <w:rsid w:val="002A2C96"/>
    <w:rsid w:val="002B14EB"/>
    <w:rsid w:val="002B2B0A"/>
    <w:rsid w:val="002B4101"/>
    <w:rsid w:val="002B5FD0"/>
    <w:rsid w:val="002B643A"/>
    <w:rsid w:val="002B6B3E"/>
    <w:rsid w:val="002C5B47"/>
    <w:rsid w:val="002D0E53"/>
    <w:rsid w:val="002D2D8C"/>
    <w:rsid w:val="002E7CC5"/>
    <w:rsid w:val="002F3764"/>
    <w:rsid w:val="002F3CE1"/>
    <w:rsid w:val="003002AA"/>
    <w:rsid w:val="00301E6B"/>
    <w:rsid w:val="003031F8"/>
    <w:rsid w:val="00304184"/>
    <w:rsid w:val="00313D15"/>
    <w:rsid w:val="00314289"/>
    <w:rsid w:val="00322F42"/>
    <w:rsid w:val="00324705"/>
    <w:rsid w:val="00332A09"/>
    <w:rsid w:val="00335D34"/>
    <w:rsid w:val="0034114E"/>
    <w:rsid w:val="003469CA"/>
    <w:rsid w:val="00360440"/>
    <w:rsid w:val="00365515"/>
    <w:rsid w:val="0036569E"/>
    <w:rsid w:val="00370A23"/>
    <w:rsid w:val="00377193"/>
    <w:rsid w:val="00380D0C"/>
    <w:rsid w:val="00383264"/>
    <w:rsid w:val="00383603"/>
    <w:rsid w:val="003874C1"/>
    <w:rsid w:val="0039612E"/>
    <w:rsid w:val="00397966"/>
    <w:rsid w:val="003A350D"/>
    <w:rsid w:val="003A42F4"/>
    <w:rsid w:val="003A4786"/>
    <w:rsid w:val="003A5234"/>
    <w:rsid w:val="003A5D5D"/>
    <w:rsid w:val="003A7057"/>
    <w:rsid w:val="003C0037"/>
    <w:rsid w:val="003C1EF9"/>
    <w:rsid w:val="003C3539"/>
    <w:rsid w:val="003C7800"/>
    <w:rsid w:val="003D04B0"/>
    <w:rsid w:val="003D1594"/>
    <w:rsid w:val="003D1A18"/>
    <w:rsid w:val="003D2AA0"/>
    <w:rsid w:val="003D5958"/>
    <w:rsid w:val="003D64B8"/>
    <w:rsid w:val="003D797D"/>
    <w:rsid w:val="003E44E7"/>
    <w:rsid w:val="003E6132"/>
    <w:rsid w:val="003F3FA8"/>
    <w:rsid w:val="003F5FE4"/>
    <w:rsid w:val="003F65CB"/>
    <w:rsid w:val="00404653"/>
    <w:rsid w:val="004177BD"/>
    <w:rsid w:val="00427CDB"/>
    <w:rsid w:val="004445B4"/>
    <w:rsid w:val="00450C98"/>
    <w:rsid w:val="00452F24"/>
    <w:rsid w:val="00453F74"/>
    <w:rsid w:val="00454084"/>
    <w:rsid w:val="00455303"/>
    <w:rsid w:val="00456694"/>
    <w:rsid w:val="0046239C"/>
    <w:rsid w:val="00466EB0"/>
    <w:rsid w:val="00470FC2"/>
    <w:rsid w:val="00477A5B"/>
    <w:rsid w:val="00477CC8"/>
    <w:rsid w:val="00482495"/>
    <w:rsid w:val="00486280"/>
    <w:rsid w:val="004938DC"/>
    <w:rsid w:val="00493A65"/>
    <w:rsid w:val="004A01CB"/>
    <w:rsid w:val="004A5E13"/>
    <w:rsid w:val="004B1BB7"/>
    <w:rsid w:val="004B53E7"/>
    <w:rsid w:val="004C101F"/>
    <w:rsid w:val="004C56B4"/>
    <w:rsid w:val="004D311A"/>
    <w:rsid w:val="004D4290"/>
    <w:rsid w:val="004E4DBE"/>
    <w:rsid w:val="004E700E"/>
    <w:rsid w:val="004E784B"/>
    <w:rsid w:val="004F2F22"/>
    <w:rsid w:val="004F58A8"/>
    <w:rsid w:val="00504A29"/>
    <w:rsid w:val="0050525D"/>
    <w:rsid w:val="0050636B"/>
    <w:rsid w:val="00507367"/>
    <w:rsid w:val="0050775A"/>
    <w:rsid w:val="00507AAB"/>
    <w:rsid w:val="00514CDD"/>
    <w:rsid w:val="0051609E"/>
    <w:rsid w:val="00517337"/>
    <w:rsid w:val="00523648"/>
    <w:rsid w:val="005241C1"/>
    <w:rsid w:val="00527690"/>
    <w:rsid w:val="00527761"/>
    <w:rsid w:val="00536A8F"/>
    <w:rsid w:val="00542909"/>
    <w:rsid w:val="00543BC5"/>
    <w:rsid w:val="005448FE"/>
    <w:rsid w:val="00552C38"/>
    <w:rsid w:val="005603F4"/>
    <w:rsid w:val="00560522"/>
    <w:rsid w:val="005714B1"/>
    <w:rsid w:val="005733E9"/>
    <w:rsid w:val="00577431"/>
    <w:rsid w:val="0058226F"/>
    <w:rsid w:val="00582472"/>
    <w:rsid w:val="00586B36"/>
    <w:rsid w:val="005924F2"/>
    <w:rsid w:val="005976A9"/>
    <w:rsid w:val="005A3217"/>
    <w:rsid w:val="005A5824"/>
    <w:rsid w:val="005A5AA1"/>
    <w:rsid w:val="005A7BEF"/>
    <w:rsid w:val="005B053C"/>
    <w:rsid w:val="005B1393"/>
    <w:rsid w:val="005B2F90"/>
    <w:rsid w:val="005B719E"/>
    <w:rsid w:val="005C2CB8"/>
    <w:rsid w:val="005C590B"/>
    <w:rsid w:val="005C669B"/>
    <w:rsid w:val="005D1D19"/>
    <w:rsid w:val="005D3E13"/>
    <w:rsid w:val="005D49A6"/>
    <w:rsid w:val="005E0B05"/>
    <w:rsid w:val="005E3CEC"/>
    <w:rsid w:val="005E3DCC"/>
    <w:rsid w:val="005F0DC4"/>
    <w:rsid w:val="005F1DA1"/>
    <w:rsid w:val="005F5974"/>
    <w:rsid w:val="00600C65"/>
    <w:rsid w:val="00601027"/>
    <w:rsid w:val="00606360"/>
    <w:rsid w:val="0061773F"/>
    <w:rsid w:val="006177FB"/>
    <w:rsid w:val="00621433"/>
    <w:rsid w:val="00631920"/>
    <w:rsid w:val="006347FB"/>
    <w:rsid w:val="00641A0B"/>
    <w:rsid w:val="006454BC"/>
    <w:rsid w:val="00647FB9"/>
    <w:rsid w:val="00653899"/>
    <w:rsid w:val="00655C85"/>
    <w:rsid w:val="00657FF5"/>
    <w:rsid w:val="00661907"/>
    <w:rsid w:val="00665303"/>
    <w:rsid w:val="00665473"/>
    <w:rsid w:val="0067290F"/>
    <w:rsid w:val="0067495B"/>
    <w:rsid w:val="00675A6E"/>
    <w:rsid w:val="006972E1"/>
    <w:rsid w:val="006A2D23"/>
    <w:rsid w:val="006B3DFD"/>
    <w:rsid w:val="006B42AF"/>
    <w:rsid w:val="006B5C50"/>
    <w:rsid w:val="006C15E1"/>
    <w:rsid w:val="006D6D45"/>
    <w:rsid w:val="006E06BD"/>
    <w:rsid w:val="006E2655"/>
    <w:rsid w:val="006F6056"/>
    <w:rsid w:val="007029F6"/>
    <w:rsid w:val="00703EE3"/>
    <w:rsid w:val="00706DC6"/>
    <w:rsid w:val="00707468"/>
    <w:rsid w:val="0070761A"/>
    <w:rsid w:val="007109D8"/>
    <w:rsid w:val="0071240D"/>
    <w:rsid w:val="00712CEF"/>
    <w:rsid w:val="007143A2"/>
    <w:rsid w:val="00714E16"/>
    <w:rsid w:val="007240AA"/>
    <w:rsid w:val="007274BB"/>
    <w:rsid w:val="007300EB"/>
    <w:rsid w:val="007323BC"/>
    <w:rsid w:val="00732DFD"/>
    <w:rsid w:val="00735345"/>
    <w:rsid w:val="00737B66"/>
    <w:rsid w:val="0075045F"/>
    <w:rsid w:val="00750BD5"/>
    <w:rsid w:val="00752304"/>
    <w:rsid w:val="00761D94"/>
    <w:rsid w:val="0076705D"/>
    <w:rsid w:val="00774678"/>
    <w:rsid w:val="007972A2"/>
    <w:rsid w:val="007B0953"/>
    <w:rsid w:val="007B38D8"/>
    <w:rsid w:val="007B67DD"/>
    <w:rsid w:val="007C0433"/>
    <w:rsid w:val="007C2B0D"/>
    <w:rsid w:val="007C3388"/>
    <w:rsid w:val="007D0BB4"/>
    <w:rsid w:val="007E211C"/>
    <w:rsid w:val="007E3FB2"/>
    <w:rsid w:val="007E5A78"/>
    <w:rsid w:val="007E5E1C"/>
    <w:rsid w:val="007E7D73"/>
    <w:rsid w:val="007F4857"/>
    <w:rsid w:val="007F4D13"/>
    <w:rsid w:val="007F6E7B"/>
    <w:rsid w:val="007F783A"/>
    <w:rsid w:val="00802030"/>
    <w:rsid w:val="0080221B"/>
    <w:rsid w:val="00803F6A"/>
    <w:rsid w:val="00815572"/>
    <w:rsid w:val="00817E4A"/>
    <w:rsid w:val="0082247A"/>
    <w:rsid w:val="00825B4C"/>
    <w:rsid w:val="008309D9"/>
    <w:rsid w:val="00831884"/>
    <w:rsid w:val="0084581F"/>
    <w:rsid w:val="00850F0D"/>
    <w:rsid w:val="0086123A"/>
    <w:rsid w:val="00864615"/>
    <w:rsid w:val="00867B67"/>
    <w:rsid w:val="008710E0"/>
    <w:rsid w:val="00876604"/>
    <w:rsid w:val="00876BC4"/>
    <w:rsid w:val="00881FD6"/>
    <w:rsid w:val="00890E0E"/>
    <w:rsid w:val="00892B4B"/>
    <w:rsid w:val="008A342D"/>
    <w:rsid w:val="008B353C"/>
    <w:rsid w:val="008B4C70"/>
    <w:rsid w:val="008B5BA8"/>
    <w:rsid w:val="008B5F63"/>
    <w:rsid w:val="008B7162"/>
    <w:rsid w:val="008C1EBA"/>
    <w:rsid w:val="008C33DE"/>
    <w:rsid w:val="008D398E"/>
    <w:rsid w:val="008D7D75"/>
    <w:rsid w:val="008E41C3"/>
    <w:rsid w:val="008E483B"/>
    <w:rsid w:val="008E737D"/>
    <w:rsid w:val="008F024C"/>
    <w:rsid w:val="008F287E"/>
    <w:rsid w:val="008F7C00"/>
    <w:rsid w:val="00900F6C"/>
    <w:rsid w:val="00907CFD"/>
    <w:rsid w:val="00910149"/>
    <w:rsid w:val="00913427"/>
    <w:rsid w:val="009171FD"/>
    <w:rsid w:val="009179D3"/>
    <w:rsid w:val="00933E7D"/>
    <w:rsid w:val="009426BA"/>
    <w:rsid w:val="009453ED"/>
    <w:rsid w:val="00946B59"/>
    <w:rsid w:val="00947644"/>
    <w:rsid w:val="0095182D"/>
    <w:rsid w:val="00960F8D"/>
    <w:rsid w:val="009623CD"/>
    <w:rsid w:val="00965F57"/>
    <w:rsid w:val="009728FA"/>
    <w:rsid w:val="0097420C"/>
    <w:rsid w:val="00976F1F"/>
    <w:rsid w:val="00980AC9"/>
    <w:rsid w:val="00981ECE"/>
    <w:rsid w:val="00982610"/>
    <w:rsid w:val="009851D6"/>
    <w:rsid w:val="00996431"/>
    <w:rsid w:val="009A01F7"/>
    <w:rsid w:val="009A0C3F"/>
    <w:rsid w:val="009A1B52"/>
    <w:rsid w:val="009A3370"/>
    <w:rsid w:val="009A48DC"/>
    <w:rsid w:val="009A59E2"/>
    <w:rsid w:val="009A5B3E"/>
    <w:rsid w:val="009B6F2C"/>
    <w:rsid w:val="009C49EE"/>
    <w:rsid w:val="009D2926"/>
    <w:rsid w:val="009D2FC0"/>
    <w:rsid w:val="009E01C9"/>
    <w:rsid w:val="009E530A"/>
    <w:rsid w:val="009E745E"/>
    <w:rsid w:val="009F148E"/>
    <w:rsid w:val="009F3C32"/>
    <w:rsid w:val="009F3EDD"/>
    <w:rsid w:val="00A034CA"/>
    <w:rsid w:val="00A05818"/>
    <w:rsid w:val="00A10065"/>
    <w:rsid w:val="00A17A5B"/>
    <w:rsid w:val="00A235C2"/>
    <w:rsid w:val="00A27AFE"/>
    <w:rsid w:val="00A3469F"/>
    <w:rsid w:val="00A34B0E"/>
    <w:rsid w:val="00A3594B"/>
    <w:rsid w:val="00A36FDD"/>
    <w:rsid w:val="00A401B7"/>
    <w:rsid w:val="00A41A16"/>
    <w:rsid w:val="00A42AFF"/>
    <w:rsid w:val="00A442DE"/>
    <w:rsid w:val="00A521C5"/>
    <w:rsid w:val="00A52966"/>
    <w:rsid w:val="00A52FAC"/>
    <w:rsid w:val="00A53165"/>
    <w:rsid w:val="00A5682E"/>
    <w:rsid w:val="00A604CB"/>
    <w:rsid w:val="00A6727E"/>
    <w:rsid w:val="00A67A33"/>
    <w:rsid w:val="00A71272"/>
    <w:rsid w:val="00A72385"/>
    <w:rsid w:val="00A77718"/>
    <w:rsid w:val="00A77D6F"/>
    <w:rsid w:val="00A808EC"/>
    <w:rsid w:val="00A809FB"/>
    <w:rsid w:val="00A826C7"/>
    <w:rsid w:val="00A86035"/>
    <w:rsid w:val="00A86D1E"/>
    <w:rsid w:val="00A87F55"/>
    <w:rsid w:val="00A90D71"/>
    <w:rsid w:val="00A93BFF"/>
    <w:rsid w:val="00A93E12"/>
    <w:rsid w:val="00A95CC1"/>
    <w:rsid w:val="00AA31F9"/>
    <w:rsid w:val="00AA57B4"/>
    <w:rsid w:val="00AB6432"/>
    <w:rsid w:val="00AC0C4E"/>
    <w:rsid w:val="00AD3140"/>
    <w:rsid w:val="00AE1949"/>
    <w:rsid w:val="00AE1BF0"/>
    <w:rsid w:val="00AE295A"/>
    <w:rsid w:val="00AF0252"/>
    <w:rsid w:val="00AF111D"/>
    <w:rsid w:val="00AF197F"/>
    <w:rsid w:val="00AF30A0"/>
    <w:rsid w:val="00AF55BF"/>
    <w:rsid w:val="00AF7175"/>
    <w:rsid w:val="00B01B95"/>
    <w:rsid w:val="00B0649F"/>
    <w:rsid w:val="00B17376"/>
    <w:rsid w:val="00B2058B"/>
    <w:rsid w:val="00B20B68"/>
    <w:rsid w:val="00B21AEB"/>
    <w:rsid w:val="00B21D55"/>
    <w:rsid w:val="00B249AE"/>
    <w:rsid w:val="00B3605E"/>
    <w:rsid w:val="00B36FA5"/>
    <w:rsid w:val="00B3719C"/>
    <w:rsid w:val="00B37DC1"/>
    <w:rsid w:val="00B41A83"/>
    <w:rsid w:val="00B42C7B"/>
    <w:rsid w:val="00B439A7"/>
    <w:rsid w:val="00B44182"/>
    <w:rsid w:val="00B45873"/>
    <w:rsid w:val="00B54AA9"/>
    <w:rsid w:val="00B6180D"/>
    <w:rsid w:val="00B61DE8"/>
    <w:rsid w:val="00B6224E"/>
    <w:rsid w:val="00B653D5"/>
    <w:rsid w:val="00B73782"/>
    <w:rsid w:val="00B742A6"/>
    <w:rsid w:val="00B75838"/>
    <w:rsid w:val="00B81CF3"/>
    <w:rsid w:val="00B82943"/>
    <w:rsid w:val="00B82B33"/>
    <w:rsid w:val="00B8514E"/>
    <w:rsid w:val="00B85B67"/>
    <w:rsid w:val="00B94B20"/>
    <w:rsid w:val="00BA4313"/>
    <w:rsid w:val="00BA6CD9"/>
    <w:rsid w:val="00BB34DE"/>
    <w:rsid w:val="00BB46FC"/>
    <w:rsid w:val="00BB650B"/>
    <w:rsid w:val="00BB7F6D"/>
    <w:rsid w:val="00BC220E"/>
    <w:rsid w:val="00BC5EA5"/>
    <w:rsid w:val="00BE3D04"/>
    <w:rsid w:val="00BE41F3"/>
    <w:rsid w:val="00BE450A"/>
    <w:rsid w:val="00BE553D"/>
    <w:rsid w:val="00BE6782"/>
    <w:rsid w:val="00BE7206"/>
    <w:rsid w:val="00BF73A0"/>
    <w:rsid w:val="00C00448"/>
    <w:rsid w:val="00C00D64"/>
    <w:rsid w:val="00C02A95"/>
    <w:rsid w:val="00C046C9"/>
    <w:rsid w:val="00C06A15"/>
    <w:rsid w:val="00C06E42"/>
    <w:rsid w:val="00C13B5C"/>
    <w:rsid w:val="00C14192"/>
    <w:rsid w:val="00C16384"/>
    <w:rsid w:val="00C17176"/>
    <w:rsid w:val="00C26846"/>
    <w:rsid w:val="00C336C1"/>
    <w:rsid w:val="00C35235"/>
    <w:rsid w:val="00C36250"/>
    <w:rsid w:val="00C36933"/>
    <w:rsid w:val="00C40794"/>
    <w:rsid w:val="00C42089"/>
    <w:rsid w:val="00C4332B"/>
    <w:rsid w:val="00C43FB8"/>
    <w:rsid w:val="00C44B0D"/>
    <w:rsid w:val="00C4563F"/>
    <w:rsid w:val="00C4735D"/>
    <w:rsid w:val="00C5055C"/>
    <w:rsid w:val="00C50F3D"/>
    <w:rsid w:val="00C56C55"/>
    <w:rsid w:val="00C57E33"/>
    <w:rsid w:val="00C625A6"/>
    <w:rsid w:val="00C634C3"/>
    <w:rsid w:val="00C63EBC"/>
    <w:rsid w:val="00C66413"/>
    <w:rsid w:val="00C722CD"/>
    <w:rsid w:val="00C75C0B"/>
    <w:rsid w:val="00C7671C"/>
    <w:rsid w:val="00C76946"/>
    <w:rsid w:val="00C777B0"/>
    <w:rsid w:val="00C800CD"/>
    <w:rsid w:val="00C80C95"/>
    <w:rsid w:val="00C831B1"/>
    <w:rsid w:val="00C863AD"/>
    <w:rsid w:val="00C864C3"/>
    <w:rsid w:val="00C864C5"/>
    <w:rsid w:val="00CA0D3D"/>
    <w:rsid w:val="00CA597E"/>
    <w:rsid w:val="00CB0372"/>
    <w:rsid w:val="00CB1DEC"/>
    <w:rsid w:val="00CB25DD"/>
    <w:rsid w:val="00CB72A4"/>
    <w:rsid w:val="00CC030E"/>
    <w:rsid w:val="00CC08F3"/>
    <w:rsid w:val="00CC0B81"/>
    <w:rsid w:val="00CC6170"/>
    <w:rsid w:val="00CD495A"/>
    <w:rsid w:val="00CD5659"/>
    <w:rsid w:val="00CE326E"/>
    <w:rsid w:val="00CE5FB0"/>
    <w:rsid w:val="00CE6AF6"/>
    <w:rsid w:val="00CF2799"/>
    <w:rsid w:val="00D02947"/>
    <w:rsid w:val="00D040DB"/>
    <w:rsid w:val="00D04A71"/>
    <w:rsid w:val="00D07AB6"/>
    <w:rsid w:val="00D10853"/>
    <w:rsid w:val="00D13C64"/>
    <w:rsid w:val="00D17297"/>
    <w:rsid w:val="00D1752B"/>
    <w:rsid w:val="00D21386"/>
    <w:rsid w:val="00D21DF8"/>
    <w:rsid w:val="00D27268"/>
    <w:rsid w:val="00D30635"/>
    <w:rsid w:val="00D30AE7"/>
    <w:rsid w:val="00D35B71"/>
    <w:rsid w:val="00D425A3"/>
    <w:rsid w:val="00D439A8"/>
    <w:rsid w:val="00D5490D"/>
    <w:rsid w:val="00D54C91"/>
    <w:rsid w:val="00D63320"/>
    <w:rsid w:val="00D67643"/>
    <w:rsid w:val="00D67886"/>
    <w:rsid w:val="00D72CB1"/>
    <w:rsid w:val="00D72E4D"/>
    <w:rsid w:val="00D75E17"/>
    <w:rsid w:val="00D82951"/>
    <w:rsid w:val="00D8721E"/>
    <w:rsid w:val="00D906D4"/>
    <w:rsid w:val="00D91B55"/>
    <w:rsid w:val="00D9364F"/>
    <w:rsid w:val="00D95377"/>
    <w:rsid w:val="00DA0F2D"/>
    <w:rsid w:val="00DA212D"/>
    <w:rsid w:val="00DA46C3"/>
    <w:rsid w:val="00DA5FFF"/>
    <w:rsid w:val="00DA6249"/>
    <w:rsid w:val="00DA7426"/>
    <w:rsid w:val="00DA7CDF"/>
    <w:rsid w:val="00DB499F"/>
    <w:rsid w:val="00DB4E8C"/>
    <w:rsid w:val="00DB66B2"/>
    <w:rsid w:val="00DC57F7"/>
    <w:rsid w:val="00DD765D"/>
    <w:rsid w:val="00DE1918"/>
    <w:rsid w:val="00DE3332"/>
    <w:rsid w:val="00DE4B2F"/>
    <w:rsid w:val="00DF1BF3"/>
    <w:rsid w:val="00E000E1"/>
    <w:rsid w:val="00E012D1"/>
    <w:rsid w:val="00E01953"/>
    <w:rsid w:val="00E127B8"/>
    <w:rsid w:val="00E128C6"/>
    <w:rsid w:val="00E167A8"/>
    <w:rsid w:val="00E202B0"/>
    <w:rsid w:val="00E30928"/>
    <w:rsid w:val="00E32E83"/>
    <w:rsid w:val="00E33316"/>
    <w:rsid w:val="00E353D6"/>
    <w:rsid w:val="00E37F27"/>
    <w:rsid w:val="00E410B1"/>
    <w:rsid w:val="00E44819"/>
    <w:rsid w:val="00E466E8"/>
    <w:rsid w:val="00E46E79"/>
    <w:rsid w:val="00E46FD1"/>
    <w:rsid w:val="00E5182D"/>
    <w:rsid w:val="00E6326C"/>
    <w:rsid w:val="00E716FC"/>
    <w:rsid w:val="00E71AE9"/>
    <w:rsid w:val="00E75436"/>
    <w:rsid w:val="00E82B22"/>
    <w:rsid w:val="00E84938"/>
    <w:rsid w:val="00E91A63"/>
    <w:rsid w:val="00E92511"/>
    <w:rsid w:val="00E933BB"/>
    <w:rsid w:val="00E94259"/>
    <w:rsid w:val="00E9480E"/>
    <w:rsid w:val="00E94A5C"/>
    <w:rsid w:val="00E9620B"/>
    <w:rsid w:val="00E96377"/>
    <w:rsid w:val="00E977B1"/>
    <w:rsid w:val="00EA0073"/>
    <w:rsid w:val="00EA01A4"/>
    <w:rsid w:val="00EA09F2"/>
    <w:rsid w:val="00EB0949"/>
    <w:rsid w:val="00EB3127"/>
    <w:rsid w:val="00EB317A"/>
    <w:rsid w:val="00EB6F45"/>
    <w:rsid w:val="00EC169A"/>
    <w:rsid w:val="00EC66AB"/>
    <w:rsid w:val="00ED5E97"/>
    <w:rsid w:val="00ED7CC0"/>
    <w:rsid w:val="00EE1A29"/>
    <w:rsid w:val="00EE1B7E"/>
    <w:rsid w:val="00EE27F0"/>
    <w:rsid w:val="00EF0896"/>
    <w:rsid w:val="00EF18D0"/>
    <w:rsid w:val="00F04281"/>
    <w:rsid w:val="00F05614"/>
    <w:rsid w:val="00F0691C"/>
    <w:rsid w:val="00F10C6F"/>
    <w:rsid w:val="00F12627"/>
    <w:rsid w:val="00F129DC"/>
    <w:rsid w:val="00F1314E"/>
    <w:rsid w:val="00F15D72"/>
    <w:rsid w:val="00F167DA"/>
    <w:rsid w:val="00F20DB7"/>
    <w:rsid w:val="00F22E8D"/>
    <w:rsid w:val="00F25FA3"/>
    <w:rsid w:val="00F303DC"/>
    <w:rsid w:val="00F33E37"/>
    <w:rsid w:val="00F34C53"/>
    <w:rsid w:val="00F369E1"/>
    <w:rsid w:val="00F508C6"/>
    <w:rsid w:val="00F607CE"/>
    <w:rsid w:val="00F6201B"/>
    <w:rsid w:val="00F65CEE"/>
    <w:rsid w:val="00F67938"/>
    <w:rsid w:val="00F67F1D"/>
    <w:rsid w:val="00F70160"/>
    <w:rsid w:val="00F7316B"/>
    <w:rsid w:val="00F81B10"/>
    <w:rsid w:val="00F82D7E"/>
    <w:rsid w:val="00F87C16"/>
    <w:rsid w:val="00F94BD9"/>
    <w:rsid w:val="00F94DC0"/>
    <w:rsid w:val="00FA3286"/>
    <w:rsid w:val="00FB4468"/>
    <w:rsid w:val="00FB6A16"/>
    <w:rsid w:val="00FB7D1D"/>
    <w:rsid w:val="00FC385C"/>
    <w:rsid w:val="00FC4F73"/>
    <w:rsid w:val="00FD06F6"/>
    <w:rsid w:val="00FD17FC"/>
    <w:rsid w:val="00FD2E9B"/>
    <w:rsid w:val="00FE2C9B"/>
    <w:rsid w:val="00FE53F3"/>
    <w:rsid w:val="00FE7702"/>
    <w:rsid w:val="00FF1C3F"/>
    <w:rsid w:val="00FF47CF"/>
    <w:rsid w:val="0E3BE76E"/>
    <w:rsid w:val="0F524A07"/>
    <w:rsid w:val="1621BAA3"/>
    <w:rsid w:val="303B7B1A"/>
    <w:rsid w:val="3B1F6B6C"/>
    <w:rsid w:val="4FDC3B84"/>
    <w:rsid w:val="78E7F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35BC"/>
  <w15:chartTrackingRefBased/>
  <w15:docId w15:val="{EBAEE712-8854-42DF-97F9-571198B7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2F"/>
    <w:pPr>
      <w:widowControl w:val="0"/>
      <w:kinsoku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5D32"/>
    <w:pPr>
      <w:tabs>
        <w:tab w:val="center" w:pos="4536"/>
        <w:tab w:val="right" w:pos="9072"/>
      </w:tabs>
    </w:pPr>
  </w:style>
  <w:style w:type="character" w:customStyle="1" w:styleId="En-tteCar">
    <w:name w:val="En-tête Car"/>
    <w:basedOn w:val="Policepardfaut"/>
    <w:link w:val="En-tte"/>
    <w:uiPriority w:val="99"/>
    <w:rsid w:val="000C5D32"/>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0C5D32"/>
    <w:pPr>
      <w:tabs>
        <w:tab w:val="center" w:pos="4536"/>
        <w:tab w:val="right" w:pos="9072"/>
      </w:tabs>
    </w:pPr>
  </w:style>
  <w:style w:type="character" w:customStyle="1" w:styleId="PieddepageCar">
    <w:name w:val="Pied de page Car"/>
    <w:basedOn w:val="Policepardfaut"/>
    <w:link w:val="Pieddepage"/>
    <w:uiPriority w:val="99"/>
    <w:rsid w:val="000C5D32"/>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0C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C0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6589</Words>
  <Characters>36243</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Berthier</dc:creator>
  <cp:keywords/>
  <dc:description/>
  <cp:lastModifiedBy>Christophe Berthier</cp:lastModifiedBy>
  <cp:revision>21</cp:revision>
  <dcterms:created xsi:type="dcterms:W3CDTF">2019-04-23T17:01:00Z</dcterms:created>
  <dcterms:modified xsi:type="dcterms:W3CDTF">2019-05-09T11:07:00Z</dcterms:modified>
</cp:coreProperties>
</file>