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FC" w:rsidRPr="00AE46D0" w:rsidRDefault="00AE46D0" w:rsidP="00AE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OBJECTIF</w:t>
      </w:r>
      <w:r w:rsidR="00FB0E73" w:rsidRPr="00AE46D0">
        <w:rPr>
          <w:sz w:val="24"/>
          <w:szCs w:val="24"/>
        </w:rPr>
        <w:t>:</w:t>
      </w:r>
      <w:proofErr w:type="gramEnd"/>
      <w:r w:rsidR="00FB0E73" w:rsidRPr="00AE46D0">
        <w:rPr>
          <w:sz w:val="24"/>
          <w:szCs w:val="24"/>
        </w:rPr>
        <w:t xml:space="preserve"> </w:t>
      </w:r>
      <w:r w:rsidR="008E1B77" w:rsidRPr="00AE46D0">
        <w:rPr>
          <w:sz w:val="24"/>
          <w:szCs w:val="24"/>
        </w:rPr>
        <w:t xml:space="preserve">Découverte </w:t>
      </w:r>
      <w:r w:rsidRPr="00AE46D0">
        <w:rPr>
          <w:sz w:val="24"/>
          <w:szCs w:val="24"/>
        </w:rPr>
        <w:t>d’un modèle discret de décroissance exponentielle permettant d’introduire l’étude de la décroissance radioactive.</w:t>
      </w:r>
      <w:r w:rsidR="008E1B77" w:rsidRPr="00AE46D0">
        <w:rPr>
          <w:sz w:val="24"/>
          <w:szCs w:val="24"/>
        </w:rPr>
        <w:t xml:space="preserve"> </w:t>
      </w:r>
    </w:p>
    <w:p w:rsidR="00FB0E73" w:rsidRDefault="00FB0E73"/>
    <w:p w:rsidR="00FB0E73" w:rsidRDefault="00707CFF">
      <w:r w:rsidRPr="00707CFF">
        <w:rPr>
          <w:highlight w:val="yellow"/>
        </w:rPr>
        <w:t>Travail de préparation : À faire à la maison</w:t>
      </w:r>
    </w:p>
    <w:p w:rsidR="00FB0E73" w:rsidRPr="00F254A8" w:rsidRDefault="00FB0E73">
      <w:pPr>
        <w:rPr>
          <w:b/>
          <w:bCs/>
          <w:u w:val="single"/>
        </w:rPr>
      </w:pPr>
      <w:r w:rsidRPr="00F254A8">
        <w:rPr>
          <w:b/>
          <w:bCs/>
          <w:u w:val="single"/>
        </w:rPr>
        <w:t xml:space="preserve">PARTIE 1 : </w:t>
      </w:r>
      <w:r w:rsidR="009D6197">
        <w:rPr>
          <w:b/>
          <w:bCs/>
          <w:u w:val="single"/>
        </w:rPr>
        <w:t>lancer un dé</w:t>
      </w:r>
      <w:r w:rsidR="003257F6">
        <w:rPr>
          <w:b/>
          <w:bCs/>
          <w:u w:val="single"/>
        </w:rPr>
        <w:t xml:space="preserve"> </w:t>
      </w:r>
    </w:p>
    <w:p w:rsidR="00FB0E73" w:rsidRDefault="00FB0E73">
      <w:r>
        <w:t xml:space="preserve">On lance un dé parfaitement équilibré à </w:t>
      </w:r>
      <w:r w:rsidR="003257F6">
        <w:t>six</w:t>
      </w:r>
      <w:r>
        <w:t xml:space="preserve"> faces, si on obtient 6 on s’arrête, sinon on continue à lancer le dé jusqu’à obtenir 6.</w:t>
      </w:r>
    </w:p>
    <w:p w:rsidR="00FB0E73" w:rsidRDefault="00D91C30">
      <w:r>
        <w:rPr>
          <w:noProof/>
        </w:rPr>
        <w:drawing>
          <wp:anchor distT="0" distB="0" distL="114300" distR="114300" simplePos="0" relativeHeight="251646464" behindDoc="0" locked="0" layoutInCell="1" allowOverlap="1" wp14:anchorId="5349DE20">
            <wp:simplePos x="0" y="0"/>
            <wp:positionH relativeFrom="column">
              <wp:posOffset>4980668</wp:posOffset>
            </wp:positionH>
            <wp:positionV relativeFrom="paragraph">
              <wp:posOffset>13272</wp:posOffset>
            </wp:positionV>
            <wp:extent cx="1494000" cy="745200"/>
            <wp:effectExtent l="19050" t="19050" r="11430" b="17145"/>
            <wp:wrapThrough wrapText="bothSides">
              <wp:wrapPolygon edited="0">
                <wp:start x="-276" y="-552"/>
                <wp:lineTo x="-276" y="21545"/>
                <wp:lineTo x="21490" y="21545"/>
                <wp:lineTo x="21490" y="-552"/>
                <wp:lineTo x="-276" y="-55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74520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FB0E73">
        <w:t xml:space="preserve">Afin de modéliser ce jeu, on décide de </w:t>
      </w:r>
      <w:r w:rsidR="00FA06E1">
        <w:t>d’écrire un script</w:t>
      </w:r>
      <w:r w:rsidR="00FB0E73">
        <w:t>, qui renvoie le nombre de lancers nécessaires à l’arrêt du jeu.</w:t>
      </w:r>
    </w:p>
    <w:p w:rsidR="00AE46D0" w:rsidRDefault="00AE46D0"/>
    <w:p w:rsidR="00F254A8" w:rsidRDefault="00F254A8">
      <w:r w:rsidRPr="00FA06E1">
        <w:rPr>
          <w:b/>
          <w:bCs/>
        </w:rPr>
        <w:t>1</w:t>
      </w:r>
      <w:r w:rsidR="00757A4F">
        <w:rPr>
          <w:b/>
          <w:bCs/>
        </w:rPr>
        <w:t>.</w:t>
      </w:r>
      <w:r>
        <w:t xml:space="preserve"> Compléter le script ci-contre afin qu’il modélise le jeu.</w:t>
      </w:r>
    </w:p>
    <w:p w:rsidR="00F254A8" w:rsidRDefault="00FA06E1">
      <w:r w:rsidRPr="00FA06E1">
        <w:rPr>
          <w:b/>
          <w:bCs/>
        </w:rPr>
        <w:t>2</w:t>
      </w:r>
      <w:r w:rsidR="00757A4F">
        <w:rPr>
          <w:b/>
          <w:bCs/>
        </w:rPr>
        <w:t>.</w:t>
      </w:r>
      <w:r>
        <w:t xml:space="preserve"> </w:t>
      </w:r>
      <w:r w:rsidR="003257F6">
        <w:t xml:space="preserve">Quel est le rôle de la variable </w:t>
      </w:r>
      <m:oMath>
        <m:r>
          <w:rPr>
            <w:rFonts w:ascii="Cambria Math" w:hAnsi="Cambria Math"/>
          </w:rPr>
          <m:t>c</m:t>
        </m:r>
      </m:oMath>
      <w:r>
        <w:t> ?</w:t>
      </w:r>
    </w:p>
    <w:p w:rsidR="00FA06E1" w:rsidRDefault="00FA06E1">
      <w:r w:rsidRPr="00FA06E1">
        <w:rPr>
          <w:b/>
          <w:bCs/>
        </w:rPr>
        <w:t>3</w:t>
      </w:r>
      <w:r w:rsidR="00757A4F">
        <w:rPr>
          <w:b/>
          <w:bCs/>
        </w:rPr>
        <w:t>.</w:t>
      </w:r>
      <w:r>
        <w:t xml:space="preserve"> Que faut-il saisir dans la console pour obtenir le nombre de lancers avant d’obtenir 6</w:t>
      </w:r>
      <w:r w:rsidR="00D91C30">
        <w:t> ?</w:t>
      </w:r>
    </w:p>
    <w:p w:rsidR="003B6784" w:rsidRDefault="00FA06E1">
      <w:r w:rsidRPr="003B6784">
        <w:rPr>
          <w:b/>
          <w:bCs/>
        </w:rPr>
        <w:t>4</w:t>
      </w:r>
      <w:r w:rsidR="00757A4F">
        <w:rPr>
          <w:b/>
          <w:bCs/>
        </w:rPr>
        <w:t>.</w:t>
      </w:r>
      <w:r>
        <w:t xml:space="preserve"> Implanter ce script </w:t>
      </w:r>
      <w:r w:rsidR="003B6784">
        <w:t>dans un éditeur Python.</w:t>
      </w:r>
    </w:p>
    <w:p w:rsidR="003B6784" w:rsidRDefault="003B6784">
      <w:r>
        <w:t>Modéliser six lancers de dés successifs et noter les résultats obtenus dans le tableau ci-dessous</w:t>
      </w:r>
    </w:p>
    <w:p w:rsidR="00AE46D0" w:rsidRDefault="00AE46D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3B6784" w:rsidTr="00D91C30">
        <w:trPr>
          <w:jc w:val="center"/>
        </w:trPr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  <w:proofErr w:type="gramStart"/>
            <w:r>
              <w:t>lancer</w:t>
            </w:r>
            <w:proofErr w:type="gramEnd"/>
            <w:r>
              <w:t xml:space="preserve"> n°</w:t>
            </w:r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  <w:r>
              <w:t>1</w:t>
            </w:r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  <w:r>
              <w:t>2</w:t>
            </w:r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  <w:r>
              <w:t>3</w:t>
            </w:r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  <w:r>
              <w:t>4</w:t>
            </w:r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  <w:r>
              <w:t>5</w:t>
            </w:r>
          </w:p>
        </w:tc>
        <w:tc>
          <w:tcPr>
            <w:tcW w:w="1516" w:type="dxa"/>
            <w:vAlign w:val="center"/>
          </w:tcPr>
          <w:p w:rsidR="003B6784" w:rsidRDefault="003B6784" w:rsidP="00D91C30">
            <w:pPr>
              <w:jc w:val="center"/>
            </w:pPr>
            <w:r>
              <w:t>6</w:t>
            </w:r>
          </w:p>
        </w:tc>
      </w:tr>
      <w:tr w:rsidR="003B6784" w:rsidTr="00D91C30">
        <w:trPr>
          <w:jc w:val="center"/>
        </w:trPr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  <w:proofErr w:type="gramStart"/>
            <w:r>
              <w:t>résultats</w:t>
            </w:r>
            <w:proofErr w:type="gramEnd"/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</w:p>
        </w:tc>
        <w:tc>
          <w:tcPr>
            <w:tcW w:w="1515" w:type="dxa"/>
            <w:vAlign w:val="center"/>
          </w:tcPr>
          <w:p w:rsidR="003B6784" w:rsidRDefault="003B6784" w:rsidP="00D91C30">
            <w:pPr>
              <w:jc w:val="center"/>
            </w:pPr>
          </w:p>
        </w:tc>
        <w:tc>
          <w:tcPr>
            <w:tcW w:w="1516" w:type="dxa"/>
            <w:vAlign w:val="center"/>
          </w:tcPr>
          <w:p w:rsidR="003B6784" w:rsidRDefault="003B6784" w:rsidP="00D91C30">
            <w:pPr>
              <w:jc w:val="center"/>
            </w:pPr>
          </w:p>
        </w:tc>
      </w:tr>
    </w:tbl>
    <w:p w:rsidR="00707CFF" w:rsidRDefault="00707CFF"/>
    <w:p w:rsidR="00707CFF" w:rsidRDefault="00707CFF">
      <w:r w:rsidRPr="00707CFF">
        <w:rPr>
          <w:highlight w:val="yellow"/>
        </w:rPr>
        <w:t>Salle informatique : 1heure</w:t>
      </w:r>
    </w:p>
    <w:p w:rsidR="003B6784" w:rsidRDefault="00C32A5A">
      <w:r>
        <w:rPr>
          <w:noProof/>
        </w:rPr>
        <w:drawing>
          <wp:anchor distT="0" distB="0" distL="114300" distR="114300" simplePos="0" relativeHeight="251651584" behindDoc="0" locked="0" layoutInCell="1" allowOverlap="1" wp14:anchorId="37E4006C">
            <wp:simplePos x="0" y="0"/>
            <wp:positionH relativeFrom="column">
              <wp:posOffset>4704395</wp:posOffset>
            </wp:positionH>
            <wp:positionV relativeFrom="paragraph">
              <wp:posOffset>146050</wp:posOffset>
            </wp:positionV>
            <wp:extent cx="17716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784" w:rsidRPr="00D91C30" w:rsidRDefault="003B6784">
      <w:pPr>
        <w:rPr>
          <w:b/>
          <w:bCs/>
          <w:u w:val="single"/>
        </w:rPr>
      </w:pPr>
      <w:r w:rsidRPr="00D91C30">
        <w:rPr>
          <w:b/>
          <w:bCs/>
          <w:u w:val="single"/>
        </w:rPr>
        <w:t xml:space="preserve">PARTIE 2 : lancer </w:t>
      </w:r>
      <w:r w:rsidR="009D6197">
        <w:rPr>
          <w:b/>
          <w:bCs/>
          <w:u w:val="single"/>
        </w:rPr>
        <w:t>n</w:t>
      </w:r>
      <w:r w:rsidRPr="00D91C30">
        <w:rPr>
          <w:b/>
          <w:bCs/>
          <w:u w:val="single"/>
        </w:rPr>
        <w:t xml:space="preserve"> dés</w:t>
      </w:r>
    </w:p>
    <w:p w:rsidR="00C32A5A" w:rsidRDefault="00D91C30">
      <w:r>
        <w:t>Cette fois ci on décide de lancer simultanément</w:t>
      </w:r>
      <w:r w:rsidR="00974033">
        <w:t xml:space="preserve"> </w:t>
      </w:r>
      <m:oMath>
        <m:r>
          <w:rPr>
            <w:rFonts w:ascii="Cambria Math" w:hAnsi="Cambria Math"/>
          </w:rPr>
          <m:t>n</m:t>
        </m:r>
      </m:oMath>
      <w:r w:rsidR="00974033">
        <w:t xml:space="preserve"> dés à six faces, parfaitement équilibrés.</w:t>
      </w:r>
      <w:r>
        <w:t xml:space="preserve"> </w:t>
      </w:r>
    </w:p>
    <w:p w:rsidR="00D91C30" w:rsidRDefault="00D91C30">
      <w:r>
        <w:t xml:space="preserve">Tous les dés qui affichent 6 sont éliminés. </w:t>
      </w:r>
    </w:p>
    <w:p w:rsidR="003B6784" w:rsidRDefault="00D91C30">
      <w:r>
        <w:t>Puis on relance les dés restant jusqu’à ne plus avoir de dés.</w:t>
      </w:r>
    </w:p>
    <w:p w:rsidR="00D91C30" w:rsidRDefault="00D91C30">
      <w:r>
        <w:t>Afin de modéliser ce nouveau jeu, on décide de créer une fonction Python</w:t>
      </w:r>
      <w:r w:rsidR="00C32A5A">
        <w:t xml:space="preserve"> : </w:t>
      </w:r>
      <w:proofErr w:type="gramStart"/>
      <w:r w:rsidR="00C32A5A" w:rsidRPr="00757A4F">
        <w:rPr>
          <w:i/>
          <w:iCs/>
          <w:color w:val="00B0F0"/>
        </w:rPr>
        <w:t>lancer(</w:t>
      </w:r>
      <w:proofErr w:type="gramEnd"/>
      <m:oMath>
        <m:r>
          <w:rPr>
            <w:rFonts w:ascii="Cambria Math" w:hAnsi="Cambria Math"/>
            <w:color w:val="00B0F0"/>
          </w:rPr>
          <m:t>n</m:t>
        </m:r>
      </m:oMath>
      <w:r w:rsidR="00C32A5A" w:rsidRPr="00757A4F">
        <w:rPr>
          <w:i/>
          <w:iCs/>
          <w:color w:val="00B0F0"/>
        </w:rPr>
        <w:t>)</w:t>
      </w:r>
      <w:r w:rsidR="00C32A5A" w:rsidRPr="00757A4F">
        <w:rPr>
          <w:color w:val="00B0F0"/>
        </w:rPr>
        <w:t xml:space="preserve"> </w:t>
      </w:r>
      <w:r>
        <w:t xml:space="preserve">qui, connaissant le nombre </w:t>
      </w:r>
      <m:oMath>
        <m:r>
          <w:rPr>
            <w:rFonts w:ascii="Cambria Math" w:hAnsi="Cambria Math"/>
          </w:rPr>
          <m:t>n</m:t>
        </m:r>
      </m:oMath>
      <w:r>
        <w:t xml:space="preserve"> de dés initialement utilisés, renvoie le nombre d’étapes </w:t>
      </w:r>
      <w:r w:rsidR="00C32A5A">
        <w:t xml:space="preserve">nécessaires à </w:t>
      </w:r>
      <w:r w:rsidR="0030732F">
        <w:t xml:space="preserve">l’élimination des </w:t>
      </w:r>
      <m:oMath>
        <m:r>
          <w:rPr>
            <w:rFonts w:ascii="Cambria Math" w:hAnsi="Cambria Math"/>
          </w:rPr>
          <m:t>n</m:t>
        </m:r>
      </m:oMath>
      <w:r w:rsidR="0030732F">
        <w:t xml:space="preserve"> dés</w:t>
      </w:r>
      <w:r w:rsidR="00C32A5A">
        <w:t>.</w:t>
      </w:r>
    </w:p>
    <w:p w:rsidR="003B6784" w:rsidRDefault="00C32A5A">
      <w:r w:rsidRPr="009F12D7">
        <w:rPr>
          <w:b/>
          <w:bCs/>
        </w:rPr>
        <w:t>1</w:t>
      </w:r>
      <w:r w:rsidR="00757A4F">
        <w:rPr>
          <w:b/>
          <w:bCs/>
        </w:rPr>
        <w:t>.</w:t>
      </w:r>
      <w:r>
        <w:t xml:space="preserve"> Comment peut-on modéliser un lancer de </w:t>
      </w:r>
      <m:oMath>
        <m:r>
          <w:rPr>
            <w:rFonts w:ascii="Cambria Math" w:hAnsi="Cambria Math"/>
          </w:rPr>
          <m:t>n</m:t>
        </m:r>
      </m:oMath>
      <w:r>
        <w:t xml:space="preserve"> dés en utilisant une liste en compréhension ?</w:t>
      </w:r>
    </w:p>
    <w:p w:rsidR="00C32A5A" w:rsidRDefault="00C32A5A">
      <w:r w:rsidRPr="009F12D7">
        <w:rPr>
          <w:b/>
          <w:bCs/>
        </w:rPr>
        <w:t>2</w:t>
      </w:r>
      <w:r w:rsidR="00757A4F">
        <w:rPr>
          <w:b/>
          <w:bCs/>
        </w:rPr>
        <w:t>.</w:t>
      </w:r>
      <w:r>
        <w:t xml:space="preserve"> Compléter </w:t>
      </w:r>
      <w:r w:rsidR="008E1B77">
        <w:t xml:space="preserve">le script de </w:t>
      </w:r>
      <w:r>
        <w:t>la fonction ci-contre afin qu’elle modélise le jeu.</w:t>
      </w:r>
    </w:p>
    <w:p w:rsidR="00C32A5A" w:rsidRDefault="00AE46D0">
      <w:r w:rsidRPr="0030732F">
        <w:rPr>
          <w:b/>
          <w:bCs/>
          <w:noProof/>
        </w:rPr>
        <w:drawing>
          <wp:anchor distT="0" distB="0" distL="114300" distR="114300" simplePos="0" relativeHeight="251665920" behindDoc="0" locked="0" layoutInCell="1" allowOverlap="1" wp14:anchorId="6015BB10">
            <wp:simplePos x="0" y="0"/>
            <wp:positionH relativeFrom="column">
              <wp:posOffset>4262031</wp:posOffset>
            </wp:positionH>
            <wp:positionV relativeFrom="paragraph">
              <wp:posOffset>49339</wp:posOffset>
            </wp:positionV>
            <wp:extent cx="2465705" cy="1158875"/>
            <wp:effectExtent l="19050" t="19050" r="10795" b="22225"/>
            <wp:wrapThrough wrapText="bothSides">
              <wp:wrapPolygon edited="0">
                <wp:start x="-167" y="-355"/>
                <wp:lineTo x="-167" y="21659"/>
                <wp:lineTo x="21528" y="21659"/>
                <wp:lineTo x="21528" y="-355"/>
                <wp:lineTo x="-167" y="-355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15887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30732F" w:rsidRPr="00974033">
        <w:rPr>
          <w:b/>
          <w:bCs/>
        </w:rPr>
        <w:t>3</w:t>
      </w:r>
      <w:r w:rsidR="00757A4F">
        <w:rPr>
          <w:b/>
          <w:bCs/>
        </w:rPr>
        <w:t>.</w:t>
      </w:r>
      <w:r w:rsidR="0030732F">
        <w:t xml:space="preserve"> </w:t>
      </w:r>
      <w:r w:rsidR="00974033">
        <w:t>Expliquer la ligne 6.</w:t>
      </w:r>
    </w:p>
    <w:p w:rsidR="00C32A5A" w:rsidRDefault="00974033">
      <w:r w:rsidRPr="00974033">
        <w:rPr>
          <w:b/>
          <w:bCs/>
        </w:rPr>
        <w:t>4</w:t>
      </w:r>
      <w:r w:rsidR="00757A4F">
        <w:rPr>
          <w:b/>
          <w:bCs/>
        </w:rPr>
        <w:t>.</w:t>
      </w:r>
      <w:r>
        <w:t xml:space="preserve"> Implanter la fonction dans un éditeur Python et compléter le tableau ci-dessous : </w:t>
      </w:r>
    </w:p>
    <w:p w:rsidR="00AE46D0" w:rsidRDefault="00AE46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733"/>
        <w:gridCol w:w="855"/>
        <w:gridCol w:w="977"/>
      </w:tblGrid>
      <w:tr w:rsidR="00AE46D0" w:rsidTr="00773C49">
        <w:tc>
          <w:tcPr>
            <w:tcW w:w="3936" w:type="dxa"/>
          </w:tcPr>
          <w:p w:rsidR="00773C49" w:rsidRDefault="00773C49" w:rsidP="00385B50">
            <w:r>
              <w:t>Nombre n de dés</w:t>
            </w:r>
          </w:p>
        </w:tc>
        <w:tc>
          <w:tcPr>
            <w:tcW w:w="708" w:type="dxa"/>
          </w:tcPr>
          <w:p w:rsidR="00773C49" w:rsidRDefault="00773C49" w:rsidP="00385B50">
            <w:r>
              <w:t>1 000</w:t>
            </w:r>
          </w:p>
        </w:tc>
        <w:tc>
          <w:tcPr>
            <w:tcW w:w="855" w:type="dxa"/>
          </w:tcPr>
          <w:p w:rsidR="00773C49" w:rsidRDefault="00773C49" w:rsidP="00385B50">
            <w:r>
              <w:t>10 000</w:t>
            </w:r>
          </w:p>
        </w:tc>
        <w:tc>
          <w:tcPr>
            <w:tcW w:w="977" w:type="dxa"/>
          </w:tcPr>
          <w:p w:rsidR="00773C49" w:rsidRPr="00773C49" w:rsidRDefault="00773C49" w:rsidP="00385B50">
            <w:r w:rsidRPr="00773C49">
              <w:t>100 000</w:t>
            </w:r>
          </w:p>
        </w:tc>
      </w:tr>
      <w:tr w:rsidR="00AE46D0" w:rsidTr="00773C49">
        <w:tc>
          <w:tcPr>
            <w:tcW w:w="3936" w:type="dxa"/>
          </w:tcPr>
          <w:p w:rsidR="00773C49" w:rsidRDefault="00773C49" w:rsidP="00385B50">
            <w:r>
              <w:t>Nombre de lancers nécessaires à l’élimination des n dés</w:t>
            </w:r>
          </w:p>
        </w:tc>
        <w:tc>
          <w:tcPr>
            <w:tcW w:w="708" w:type="dxa"/>
          </w:tcPr>
          <w:p w:rsidR="00773C49" w:rsidRDefault="00773C49" w:rsidP="00385B50"/>
        </w:tc>
        <w:tc>
          <w:tcPr>
            <w:tcW w:w="855" w:type="dxa"/>
          </w:tcPr>
          <w:p w:rsidR="00773C49" w:rsidRDefault="00773C49" w:rsidP="00385B50"/>
        </w:tc>
        <w:tc>
          <w:tcPr>
            <w:tcW w:w="977" w:type="dxa"/>
          </w:tcPr>
          <w:p w:rsidR="00773C49" w:rsidRDefault="00773C49" w:rsidP="00385B50"/>
        </w:tc>
      </w:tr>
    </w:tbl>
    <w:p w:rsidR="00AE46D0" w:rsidRDefault="00AE46D0">
      <w:pPr>
        <w:rPr>
          <w:b/>
          <w:bCs/>
        </w:rPr>
      </w:pPr>
    </w:p>
    <w:p w:rsidR="00974033" w:rsidRDefault="00773C49">
      <w:r w:rsidRPr="00773C49">
        <w:rPr>
          <w:b/>
          <w:bCs/>
        </w:rPr>
        <w:t>5</w:t>
      </w:r>
      <w:r w:rsidR="00757A4F">
        <w:rPr>
          <w:b/>
          <w:bCs/>
        </w:rPr>
        <w:t>.</w:t>
      </w:r>
      <w:r>
        <w:t xml:space="preserve"> Modifier la fonction précédente afin d’obtenir une nouvelle fonction </w:t>
      </w:r>
      <w:r w:rsidRPr="00757A4F">
        <w:rPr>
          <w:i/>
          <w:iCs/>
          <w:color w:val="00B0F0"/>
        </w:rPr>
        <w:t>lancer_</w:t>
      </w:r>
      <w:proofErr w:type="gramStart"/>
      <w:r w:rsidRPr="00757A4F">
        <w:rPr>
          <w:i/>
          <w:iCs/>
          <w:color w:val="00B0F0"/>
        </w:rPr>
        <w:t>demi(</w:t>
      </w:r>
      <w:proofErr w:type="gramEnd"/>
      <m:oMath>
        <m:r>
          <w:rPr>
            <w:rFonts w:ascii="Cambria Math" w:hAnsi="Cambria Math"/>
            <w:color w:val="00B0F0"/>
          </w:rPr>
          <m:t>n</m:t>
        </m:r>
      </m:oMath>
      <w:r w:rsidRPr="00757A4F">
        <w:rPr>
          <w:i/>
          <w:iCs/>
          <w:color w:val="00B0F0"/>
        </w:rPr>
        <w:t>)</w:t>
      </w:r>
      <w:r w:rsidRPr="00757A4F">
        <w:rPr>
          <w:color w:val="00B0F0"/>
        </w:rPr>
        <w:t xml:space="preserve"> </w:t>
      </w:r>
      <w:r>
        <w:t>qui renvoie le nombre d’essais nécessaires pour l’élimination de la moitié des dés.</w:t>
      </w:r>
    </w:p>
    <w:p w:rsidR="00C32A5A" w:rsidRDefault="00773C49">
      <w:r w:rsidRPr="00773C49">
        <w:rPr>
          <w:b/>
          <w:bCs/>
        </w:rPr>
        <w:t>6</w:t>
      </w:r>
      <w:r w:rsidR="00757A4F">
        <w:rPr>
          <w:b/>
          <w:bCs/>
        </w:rPr>
        <w:t>.</w:t>
      </w:r>
      <w:r>
        <w:t xml:space="preserve"> Compléter le tableau ci-dessous : </w:t>
      </w:r>
    </w:p>
    <w:p w:rsidR="00AE46D0" w:rsidRDefault="00AE46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2"/>
        <w:gridCol w:w="1513"/>
        <w:gridCol w:w="1513"/>
        <w:gridCol w:w="1513"/>
        <w:gridCol w:w="1513"/>
        <w:gridCol w:w="1513"/>
        <w:gridCol w:w="1515"/>
      </w:tblGrid>
      <w:tr w:rsidR="00773C49" w:rsidTr="00773C49"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  <w:proofErr w:type="gramStart"/>
            <w:r>
              <w:t>n</w:t>
            </w:r>
            <w:proofErr w:type="gramEnd"/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  <w:r>
              <w:t>1 000</w:t>
            </w:r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  <w:r>
              <w:t>5 000</w:t>
            </w:r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  <w:r>
              <w:t>10 000</w:t>
            </w:r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  <w:r>
              <w:t>100 000</w:t>
            </w:r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  <w:r>
              <w:t>250 000</w:t>
            </w:r>
          </w:p>
        </w:tc>
        <w:tc>
          <w:tcPr>
            <w:tcW w:w="1516" w:type="dxa"/>
            <w:vAlign w:val="center"/>
          </w:tcPr>
          <w:p w:rsidR="00773C49" w:rsidRDefault="00773C49" w:rsidP="00773C49">
            <w:pPr>
              <w:jc w:val="center"/>
            </w:pPr>
            <w:r>
              <w:t>1 000 000</w:t>
            </w:r>
          </w:p>
        </w:tc>
      </w:tr>
      <w:tr w:rsidR="00773C49" w:rsidTr="00773C49">
        <w:tc>
          <w:tcPr>
            <w:tcW w:w="1515" w:type="dxa"/>
            <w:vAlign w:val="center"/>
          </w:tcPr>
          <w:p w:rsidR="00773C49" w:rsidRPr="00773C49" w:rsidRDefault="00773C49" w:rsidP="00773C49">
            <w:pPr>
              <w:jc w:val="center"/>
              <w:rPr>
                <w:i/>
                <w:iCs/>
              </w:rPr>
            </w:pPr>
            <w:proofErr w:type="gramStart"/>
            <w:r w:rsidRPr="00773C49">
              <w:rPr>
                <w:i/>
                <w:iCs/>
              </w:rPr>
              <w:t>lancer</w:t>
            </w:r>
            <w:proofErr w:type="gramEnd"/>
            <w:r w:rsidRPr="00773C49">
              <w:rPr>
                <w:i/>
                <w:iCs/>
              </w:rPr>
              <w:t>_demi(n)</w:t>
            </w:r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</w:p>
        </w:tc>
        <w:tc>
          <w:tcPr>
            <w:tcW w:w="1515" w:type="dxa"/>
            <w:vAlign w:val="center"/>
          </w:tcPr>
          <w:p w:rsidR="00773C49" w:rsidRDefault="00773C49" w:rsidP="00773C49">
            <w:pPr>
              <w:jc w:val="center"/>
            </w:pPr>
          </w:p>
        </w:tc>
        <w:tc>
          <w:tcPr>
            <w:tcW w:w="1516" w:type="dxa"/>
            <w:vAlign w:val="center"/>
          </w:tcPr>
          <w:p w:rsidR="00773C49" w:rsidRDefault="00773C49" w:rsidP="00773C49">
            <w:pPr>
              <w:jc w:val="center"/>
            </w:pPr>
          </w:p>
        </w:tc>
      </w:tr>
    </w:tbl>
    <w:p w:rsidR="00AE46D0" w:rsidRDefault="009D6197">
      <w:r>
        <w:tab/>
      </w:r>
    </w:p>
    <w:p w:rsidR="00773C49" w:rsidRDefault="00AE46D0">
      <w:r>
        <w:rPr>
          <w:b/>
          <w:bCs/>
        </w:rPr>
        <w:tab/>
      </w:r>
      <w:r w:rsidR="009D6197" w:rsidRPr="009D6197">
        <w:rPr>
          <w:b/>
          <w:bCs/>
        </w:rPr>
        <w:t>a)</w:t>
      </w:r>
      <w:r w:rsidR="009D6197">
        <w:t xml:space="preserve"> Que constate-on ?</w:t>
      </w:r>
    </w:p>
    <w:p w:rsidR="009D6197" w:rsidRDefault="009D6197">
      <w:r>
        <w:tab/>
      </w:r>
      <w:r w:rsidRPr="009D6197">
        <w:rPr>
          <w:b/>
          <w:bCs/>
        </w:rPr>
        <w:t>b)</w:t>
      </w:r>
      <w:r>
        <w:t xml:space="preserve"> Quel résultat </w:t>
      </w:r>
      <w:r w:rsidR="001D27B8">
        <w:t>peut-on</w:t>
      </w:r>
      <w:r>
        <w:t xml:space="preserve"> conjecturer à la suite de cette expérience ?</w:t>
      </w:r>
    </w:p>
    <w:p w:rsidR="00707CFF" w:rsidRDefault="00707CF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3B6784" w:rsidRPr="009D6197" w:rsidRDefault="003B6784">
      <w:pPr>
        <w:rPr>
          <w:b/>
          <w:bCs/>
          <w:u w:val="single"/>
        </w:rPr>
      </w:pPr>
      <w:r w:rsidRPr="009D6197">
        <w:rPr>
          <w:b/>
          <w:bCs/>
          <w:u w:val="single"/>
        </w:rPr>
        <w:lastRenderedPageBreak/>
        <w:t xml:space="preserve">PARTIE 3 : </w:t>
      </w:r>
      <w:r w:rsidR="009D6197" w:rsidRPr="009D6197">
        <w:rPr>
          <w:b/>
          <w:bCs/>
          <w:u w:val="single"/>
        </w:rPr>
        <w:t>Modélisation mathématique</w:t>
      </w:r>
    </w:p>
    <w:p w:rsidR="003B6784" w:rsidRDefault="009D6197">
      <w:r>
        <w:t>Afin d’identifier la relation qui lie le nombre de dés au nombre d’essais nécessaire à leur élimination, on décide de représenter le nombre d’essais en fonction du nombre de dés restants.</w:t>
      </w:r>
    </w:p>
    <w:p w:rsidR="009D6197" w:rsidRDefault="009D6197">
      <w:r>
        <w:t xml:space="preserve">Pour cela on modifie une nouvelle fois la fonction </w:t>
      </w:r>
      <w:proofErr w:type="gramStart"/>
      <w:r w:rsidRPr="00757A4F">
        <w:rPr>
          <w:i/>
          <w:iCs/>
          <w:color w:val="00B0F0"/>
        </w:rPr>
        <w:t>lancer(</w:t>
      </w:r>
      <w:proofErr w:type="gramEnd"/>
      <m:oMath>
        <m:r>
          <w:rPr>
            <w:rFonts w:ascii="Cambria Math" w:hAnsi="Cambria Math"/>
            <w:color w:val="00B0F0"/>
          </w:rPr>
          <m:t>n</m:t>
        </m:r>
      </m:oMath>
      <w:r w:rsidRPr="00757A4F">
        <w:rPr>
          <w:i/>
          <w:iCs/>
          <w:color w:val="00B0F0"/>
        </w:rPr>
        <w:t>)</w:t>
      </w:r>
      <w:r w:rsidRPr="00757A4F">
        <w:rPr>
          <w:color w:val="00B0F0"/>
        </w:rPr>
        <w:t xml:space="preserve"> </w:t>
      </w:r>
      <w:r>
        <w:t xml:space="preserve">de la partie précédente afin de créer une fonction </w:t>
      </w:r>
      <w:r w:rsidRPr="00757A4F">
        <w:rPr>
          <w:i/>
          <w:iCs/>
          <w:color w:val="00B0F0"/>
        </w:rPr>
        <w:t>lancer_graphe(</w:t>
      </w:r>
      <m:oMath>
        <m:r>
          <w:rPr>
            <w:rFonts w:ascii="Cambria Math" w:hAnsi="Cambria Math"/>
            <w:color w:val="00B0F0"/>
          </w:rPr>
          <m:t>n</m:t>
        </m:r>
      </m:oMath>
      <w:r w:rsidRPr="00757A4F">
        <w:rPr>
          <w:i/>
          <w:iCs/>
          <w:color w:val="00B0F0"/>
        </w:rPr>
        <w:t>)</w:t>
      </w:r>
      <w:r w:rsidRPr="00757A4F">
        <w:rPr>
          <w:color w:val="00B0F0"/>
        </w:rPr>
        <w:t xml:space="preserve"> </w:t>
      </w:r>
      <w:r>
        <w:t xml:space="preserve">qui non seulement renvoie le nombre d’étapes nécessaires à l’élimination des dés mais aussi affiche </w:t>
      </w:r>
      <w:r w:rsidR="001D27B8">
        <w:t xml:space="preserve">le nombre de dés encore présents à chaque lancer. </w:t>
      </w:r>
    </w:p>
    <w:p w:rsidR="00472010" w:rsidRDefault="00472010">
      <w:r w:rsidRPr="00472010">
        <w:rPr>
          <w:noProof/>
        </w:rPr>
        <w:drawing>
          <wp:anchor distT="0" distB="0" distL="114300" distR="114300" simplePos="0" relativeHeight="251661312" behindDoc="0" locked="0" layoutInCell="1" allowOverlap="1" wp14:anchorId="728D29F6">
            <wp:simplePos x="0" y="0"/>
            <wp:positionH relativeFrom="column">
              <wp:posOffset>3516505</wp:posOffset>
            </wp:positionH>
            <wp:positionV relativeFrom="paragraph">
              <wp:posOffset>93248</wp:posOffset>
            </wp:positionV>
            <wp:extent cx="3214800" cy="1756800"/>
            <wp:effectExtent l="19050" t="19050" r="24130" b="15240"/>
            <wp:wrapThrough wrapText="bothSides">
              <wp:wrapPolygon edited="0">
                <wp:start x="-128" y="-234"/>
                <wp:lineTo x="-128" y="21553"/>
                <wp:lineTo x="21634" y="21553"/>
                <wp:lineTo x="21634" y="-234"/>
                <wp:lineTo x="-128" y="-234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00" cy="175680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9D6197" w:rsidRDefault="001D27B8">
      <w:pPr>
        <w:rPr>
          <w:rFonts w:ascii="Times New Roman" w:hAnsi="Times New Roman" w:cs="Times New Roman"/>
          <w:i/>
          <w:iCs/>
        </w:rPr>
      </w:pPr>
      <w:r w:rsidRPr="001D27B8">
        <w:rPr>
          <w:rFonts w:ascii="Times New Roman" w:hAnsi="Times New Roman" w:cs="Times New Roman"/>
          <w:i/>
          <w:iCs/>
        </w:rPr>
        <w:t>Tous les éléments graphiques relatifs à la bibliothèques matplotlib-pyplot sont donnés.</w:t>
      </w:r>
    </w:p>
    <w:p w:rsidR="00472010" w:rsidRPr="001D27B8" w:rsidRDefault="00472010">
      <w:pPr>
        <w:rPr>
          <w:rFonts w:ascii="Times New Roman" w:hAnsi="Times New Roman" w:cs="Times New Roman"/>
          <w:i/>
          <w:iCs/>
        </w:rPr>
      </w:pPr>
    </w:p>
    <w:p w:rsidR="00AE46D0" w:rsidRDefault="001D27B8">
      <w:r w:rsidRPr="00AE46D0">
        <w:rPr>
          <w:b/>
          <w:bCs/>
        </w:rPr>
        <w:t>1</w:t>
      </w:r>
      <w:r w:rsidR="00757A4F">
        <w:rPr>
          <w:b/>
          <w:bCs/>
        </w:rPr>
        <w:t>.</w:t>
      </w:r>
      <w:r>
        <w:t xml:space="preserve"> </w:t>
      </w:r>
      <w:r w:rsidR="00AE46D0">
        <w:t xml:space="preserve">Afin d’afficher le nombre de dés restant, on crée une liste </w:t>
      </w:r>
      <w:r w:rsidR="00AE46D0" w:rsidRPr="00757A4F">
        <w:rPr>
          <w:i/>
          <w:iCs/>
          <w:color w:val="00B0F0"/>
        </w:rPr>
        <w:t>ord</w:t>
      </w:r>
      <w:r w:rsidR="00AE46D0">
        <w:t xml:space="preserve">, qui permettra de garder en mémoire le nombre de dés encore « en vie » à chaque étape. </w:t>
      </w:r>
    </w:p>
    <w:p w:rsidR="009D6197" w:rsidRDefault="001D27B8">
      <w:r>
        <w:t>Compléter l</w:t>
      </w:r>
      <w:r w:rsidR="00AE46D0">
        <w:t xml:space="preserve">e script de la fonction ci-contre : </w:t>
      </w:r>
    </w:p>
    <w:p w:rsidR="009D6197" w:rsidRDefault="00472010" w:rsidP="00472010">
      <w:r w:rsidRPr="00472010">
        <w:rPr>
          <w:b/>
          <w:bCs/>
        </w:rPr>
        <w:t>2</w:t>
      </w:r>
      <w:r w:rsidR="00757A4F">
        <w:rPr>
          <w:b/>
          <w:bCs/>
        </w:rPr>
        <w:t>.</w:t>
      </w:r>
      <w:r>
        <w:t xml:space="preserve"> Implanter cette fonction dans un éditeur Python, la tester avec différentes valeurs de </w:t>
      </w:r>
      <m:oMath>
        <m:r>
          <w:rPr>
            <w:rFonts w:ascii="Cambria Math" w:hAnsi="Cambria Math"/>
          </w:rPr>
          <m:t>n</m:t>
        </m:r>
      </m:oMath>
      <w:r>
        <w:t xml:space="preserve">. </w:t>
      </w:r>
    </w:p>
    <w:p w:rsidR="009D6197" w:rsidRDefault="00472010">
      <w:r w:rsidRPr="00472010">
        <w:rPr>
          <w:b/>
          <w:bCs/>
        </w:rPr>
        <w:t>3</w:t>
      </w:r>
      <w:r w:rsidR="00757A4F">
        <w:rPr>
          <w:b/>
          <w:bCs/>
        </w:rPr>
        <w:t>.</w:t>
      </w:r>
      <w:r>
        <w:t xml:space="preserve"> Peut-on relier le nuage de points obtenus à une fonction de référence connue ?</w:t>
      </w:r>
    </w:p>
    <w:p w:rsidR="00472010" w:rsidRDefault="00472010">
      <w:r w:rsidRPr="00472010">
        <w:rPr>
          <w:b/>
          <w:bCs/>
        </w:rPr>
        <w:t>4</w:t>
      </w:r>
      <w:r w:rsidR="00757A4F">
        <w:rPr>
          <w:b/>
          <w:bCs/>
        </w:rPr>
        <w:t>.</w:t>
      </w:r>
      <w:r>
        <w:t>Afin de caractériser le lien entre le nombre de dés encore vivants et le nombre d’essai</w:t>
      </w:r>
      <w:r w:rsidR="00E66027">
        <w:t>s</w:t>
      </w:r>
      <w:r>
        <w:t>, on modifie l’échelle de l’axe des ordonnées en prenant une échelle logarithmique à la place d’une échelle linéaire.</w:t>
      </w:r>
    </w:p>
    <w:p w:rsidR="004A5BD6" w:rsidRDefault="004A5BD6">
      <w:r>
        <w:t xml:space="preserve">Pour cela on ajoutera avant l’instruction </w:t>
      </w:r>
      <w:proofErr w:type="gramStart"/>
      <w:r w:rsidRPr="00757A4F">
        <w:rPr>
          <w:i/>
          <w:iCs/>
          <w:color w:val="00B0F0"/>
        </w:rPr>
        <w:t>plt.show</w:t>
      </w:r>
      <w:proofErr w:type="gramEnd"/>
      <w:r w:rsidRPr="00757A4F">
        <w:rPr>
          <w:i/>
          <w:iCs/>
          <w:color w:val="00B0F0"/>
        </w:rPr>
        <w:t>()</w:t>
      </w:r>
      <w:r w:rsidRPr="00757A4F">
        <w:rPr>
          <w:color w:val="00B0F0"/>
        </w:rPr>
        <w:t> </w:t>
      </w:r>
      <w:r>
        <w:t xml:space="preserve">: </w:t>
      </w:r>
    </w:p>
    <w:p w:rsidR="004A5BD6" w:rsidRDefault="004A5BD6" w:rsidP="004A5BD6">
      <w:pPr>
        <w:jc w:val="right"/>
      </w:pPr>
      <w:r>
        <w:rPr>
          <w:noProof/>
        </w:rPr>
        <w:drawing>
          <wp:inline distT="0" distB="0" distL="0" distR="0" wp14:anchorId="0E2D5C63" wp14:editId="5019FDE6">
            <wp:extent cx="2608170" cy="273107"/>
            <wp:effectExtent l="19050" t="19050" r="20955" b="127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4390" cy="29679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A5BD6" w:rsidRDefault="00707CFF" w:rsidP="00707CFF">
      <w:r w:rsidRPr="00707CFF">
        <w:rPr>
          <w:highlight w:val="yellow"/>
        </w:rPr>
        <w:t>Pour la prochaine fois</w:t>
      </w:r>
    </w:p>
    <w:p w:rsidR="00472010" w:rsidRPr="004A5BD6" w:rsidRDefault="00472010" w:rsidP="004A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u w:val="single"/>
        </w:rPr>
      </w:pPr>
      <w:r w:rsidRPr="004A5BD6">
        <w:rPr>
          <w:rFonts w:ascii="Times New Roman" w:hAnsi="Times New Roman" w:cs="Times New Roman"/>
          <w:b/>
          <w:bCs/>
          <w:u w:val="single"/>
        </w:rPr>
        <w:t>RAPPEL : Papier semi-log</w:t>
      </w:r>
    </w:p>
    <w:p w:rsidR="00472010" w:rsidRPr="004A5BD6" w:rsidRDefault="004A5BD6" w:rsidP="004A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A5BD6">
        <w:rPr>
          <w:rFonts w:ascii="Times New Roman" w:hAnsi="Times New Roman" w:cs="Times New Roman"/>
        </w:rPr>
        <w:t xml:space="preserve">Un papier semi-logarithmique est utilisé lorsque l’une des séries de données possède une très grande amplitude. </w:t>
      </w:r>
    </w:p>
    <w:p w:rsidR="004A5BD6" w:rsidRDefault="004A5BD6" w:rsidP="004A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A5BD6">
        <w:rPr>
          <w:rFonts w:ascii="Times New Roman" w:hAnsi="Times New Roman" w:cs="Times New Roman"/>
        </w:rPr>
        <w:t xml:space="preserve">Lorsque des points </w:t>
      </w:r>
      <m:oMath>
        <m:r>
          <w:rPr>
            <w:rFonts w:ascii="Cambria Math" w:hAnsi="Cambria Math" w:cs="Times New Roman"/>
          </w:rPr>
          <m:t>(x </m:t>
        </m:r>
        <m:r>
          <w:rPr>
            <w:rFonts w:ascii="Cambria Math" w:eastAsiaTheme="minorEastAsia" w:hAnsi="Cambria Math" w:cs="Times New Roman"/>
          </w:rPr>
          <m:t>;y)</m:t>
        </m:r>
      </m:oMath>
      <w:r w:rsidRPr="004A5BD6">
        <w:rPr>
          <w:rFonts w:ascii="Times New Roman" w:eastAsiaTheme="minorEastAsia" w:hAnsi="Times New Roman" w:cs="Times New Roman"/>
        </w:rPr>
        <w:t xml:space="preserve"> </w:t>
      </w:r>
      <w:r w:rsidRPr="004A5BD6">
        <w:rPr>
          <w:rFonts w:ascii="Times New Roman" w:hAnsi="Times New Roman" w:cs="Times New Roman"/>
        </w:rPr>
        <w:t xml:space="preserve">sont alignés sur un papier semi-logarithmique, dont l’échelle logarithmique est donnée en ordonnées, ces points sont liés par </w:t>
      </w:r>
      <w:r w:rsidR="00757A4F" w:rsidRPr="004A5BD6">
        <w:rPr>
          <w:rFonts w:ascii="Times New Roman" w:hAnsi="Times New Roman" w:cs="Times New Roman"/>
        </w:rPr>
        <w:t>une formule</w:t>
      </w:r>
      <w:r w:rsidRPr="004A5BD6">
        <w:rPr>
          <w:rFonts w:ascii="Times New Roman" w:hAnsi="Times New Roman" w:cs="Times New Roman"/>
        </w:rPr>
        <w:t xml:space="preserve"> du type : </w:t>
      </w:r>
      <m:oMath>
        <m:r>
          <w:rPr>
            <w:rFonts w:ascii="Cambria Math" w:hAnsi="Cambria Math" w:cs="Times New Roman"/>
          </w:rPr>
          <m:t>log(y) = a</m:t>
        </m:r>
        <m:r>
          <w:rPr>
            <w:rFonts w:ascii="Cambria Math" w:hAnsi="Cambria Math" w:cs="Times New Roman"/>
          </w:rPr>
          <m:t>×</m:t>
        </m:r>
        <m:r>
          <w:rPr>
            <w:rFonts w:ascii="Cambria Math" w:hAnsi="Cambria Math" w:cs="Times New Roman"/>
          </w:rPr>
          <m:t>x + b</m:t>
        </m:r>
      </m:oMath>
      <w:r w:rsidRPr="004A5BD6">
        <w:rPr>
          <w:rFonts w:ascii="Times New Roman" w:hAnsi="Times New Roman" w:cs="Times New Roman"/>
        </w:rPr>
        <w:t xml:space="preserve"> où a et b sont des réels.</w:t>
      </w:r>
    </w:p>
    <w:p w:rsidR="00757A4F" w:rsidRDefault="00757A4F" w:rsidP="004A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Comme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</m:d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</m:d>
              </m:e>
            </m:func>
          </m:den>
        </m:f>
      </m:oMath>
      <w:r>
        <w:rPr>
          <w:rFonts w:ascii="Times New Roman" w:eastAsiaTheme="minorEastAsia" w:hAnsi="Times New Roman" w:cs="Times New Roman"/>
        </w:rPr>
        <w:t xml:space="preserve"> on en déduit que déterminer une telle relation revient à écrire : </w:t>
      </w:r>
    </w:p>
    <w:p w:rsidR="00757A4F" w:rsidRDefault="00757A4F" w:rsidP="004A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="Times New Roman"/>
          </w:rPr>
          <m:t>=a ×x+b ⇔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=a×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×</m:t>
            </m:r>
          </m:e>
        </m:func>
        <m:r>
          <w:rPr>
            <w:rFonts w:ascii="Cambria Math" w:eastAsiaTheme="minorEastAsia" w:hAnsi="Cambria Math" w:cs="Times New Roman"/>
          </w:rPr>
          <m:t>x+b×ln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</w:p>
    <w:p w:rsidR="00757A4F" w:rsidRPr="004A5BD6" w:rsidRDefault="00757A4F" w:rsidP="004A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On pourra donc directement modéliser la situation à l’aide de l’équation : </w:t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=A ×x+B</m:t>
        </m:r>
      </m:oMath>
      <w:r>
        <w:rPr>
          <w:rFonts w:ascii="Times New Roman" w:eastAsiaTheme="minorEastAsia" w:hAnsi="Times New Roman" w:cs="Times New Roman"/>
        </w:rPr>
        <w:t xml:space="preserve"> où A et B sont des réels.</w:t>
      </w:r>
    </w:p>
    <w:p w:rsidR="00472010" w:rsidRDefault="00472010"/>
    <w:p w:rsidR="004A5BD6" w:rsidRDefault="004A5BD6">
      <w:r>
        <w:t xml:space="preserve">En faisant </w:t>
      </w:r>
      <w:r w:rsidRPr="00757A4F">
        <w:rPr>
          <w:i/>
          <w:iCs/>
          <w:color w:val="00B0F0"/>
        </w:rPr>
        <w:t>lancer_</w:t>
      </w:r>
      <w:proofErr w:type="gramStart"/>
      <w:r w:rsidRPr="00757A4F">
        <w:rPr>
          <w:i/>
          <w:iCs/>
          <w:color w:val="00B0F0"/>
        </w:rPr>
        <w:t>graphe(</w:t>
      </w:r>
      <w:proofErr w:type="gramEnd"/>
      <w:r w:rsidRPr="00757A4F">
        <w:rPr>
          <w:i/>
          <w:iCs/>
          <w:color w:val="00B0F0"/>
        </w:rPr>
        <w:t>10000)</w:t>
      </w:r>
      <w:r>
        <w:t xml:space="preserve"> on a obtenu la représentation graphique </w:t>
      </w:r>
      <w:r w:rsidR="000722A2">
        <w:t>ci-dessous</w:t>
      </w:r>
      <w:r>
        <w:t xml:space="preserve"> : </w:t>
      </w:r>
    </w:p>
    <w:p w:rsidR="000722A2" w:rsidRDefault="000722A2"/>
    <w:p w:rsidR="004A5BD6" w:rsidRDefault="000722A2" w:rsidP="000722A2">
      <w:pPr>
        <w:jc w:val="center"/>
      </w:pPr>
      <w:r>
        <w:rPr>
          <w:noProof/>
        </w:rPr>
        <w:drawing>
          <wp:inline distT="0" distB="0" distL="0" distR="0">
            <wp:extent cx="4425538" cy="331915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mi_log_dé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894" cy="334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10" w:rsidRDefault="0006259B">
      <w:r>
        <w:t>Tracer une droite ajustant au mieux le nuage de points.</w:t>
      </w:r>
    </w:p>
    <w:p w:rsidR="0006259B" w:rsidRDefault="0006259B">
      <w:r w:rsidRPr="0006259B">
        <w:rPr>
          <w:b/>
          <w:bCs/>
        </w:rPr>
        <w:t>5</w:t>
      </w:r>
      <w:r w:rsidR="00757A4F">
        <w:rPr>
          <w:b/>
          <w:bCs/>
        </w:rPr>
        <w:t>.</w:t>
      </w:r>
      <w:r w:rsidRPr="0006259B">
        <w:rPr>
          <w:b/>
          <w:bCs/>
        </w:rPr>
        <w:t xml:space="preserve"> </w:t>
      </w:r>
      <w:r w:rsidRPr="0006259B">
        <w:rPr>
          <w:b/>
          <w:bCs/>
        </w:rPr>
        <w:tab/>
        <w:t>a</w:t>
      </w:r>
      <w:r w:rsidR="00757A4F">
        <w:rPr>
          <w:b/>
          <w:bCs/>
        </w:rPr>
        <w:t>.</w:t>
      </w:r>
      <w:r>
        <w:t xml:space="preserve"> Choisir deux points sur cette droite afin d’établir </w:t>
      </w:r>
      <w:proofErr w:type="gramStart"/>
      <w:r>
        <w:t>une relation liant</w:t>
      </w:r>
      <w:proofErr w:type="gramEnd"/>
      <w:r>
        <w:t xml:space="preserve"> </w:t>
      </w:r>
      <m:oMath>
        <m:r>
          <w:rPr>
            <w:rFonts w:ascii="Cambria Math" w:hAnsi="Cambria Math"/>
          </w:rPr>
          <m:t>ln(y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. </w:t>
      </w:r>
    </w:p>
    <w:p w:rsidR="003B6784" w:rsidRDefault="0006259B">
      <w:pPr>
        <w:rPr>
          <w:rFonts w:eastAsiaTheme="minorEastAsia"/>
        </w:rPr>
      </w:pPr>
      <w:r>
        <w:tab/>
      </w:r>
      <w:r w:rsidRPr="0006259B">
        <w:rPr>
          <w:b/>
          <w:bCs/>
        </w:rPr>
        <w:t>b</w:t>
      </w:r>
      <w:r w:rsidR="00757A4F">
        <w:rPr>
          <w:b/>
          <w:bCs/>
        </w:rPr>
        <w:t>.</w:t>
      </w:r>
      <w:r>
        <w:t xml:space="preserve"> En déduire </w:t>
      </w:r>
      <w:proofErr w:type="gramStart"/>
      <w:r>
        <w:t>une relation liant</w:t>
      </w:r>
      <w:proofErr w:type="gramEnd"/>
      <w: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.</w:t>
      </w:r>
    </w:p>
    <w:p w:rsidR="00707CFF" w:rsidRDefault="00707CFF">
      <w:pPr>
        <w:rPr>
          <w:rFonts w:eastAsiaTheme="minorEastAsia"/>
        </w:rPr>
      </w:pPr>
      <w:r w:rsidRPr="00707CFF">
        <w:rPr>
          <w:rFonts w:eastAsiaTheme="minorEastAsia"/>
          <w:highlight w:val="yellow"/>
        </w:rPr>
        <w:lastRenderedPageBreak/>
        <w:t>DEVOIR MAISON</w:t>
      </w:r>
      <w:r>
        <w:rPr>
          <w:rFonts w:eastAsiaTheme="minorEastAsia"/>
        </w:rPr>
        <w:t xml:space="preserve"> Déposer les programmes Python dans l’ENT, les réponses aux questions pourront être données sous forme numériques, déposées dans l’ENT.</w:t>
      </w:r>
    </w:p>
    <w:p w:rsidR="00707CFF" w:rsidRDefault="00707CFF">
      <w:pPr>
        <w:rPr>
          <w:rFonts w:eastAsiaTheme="minorEastAsia"/>
        </w:rPr>
      </w:pPr>
    </w:p>
    <w:p w:rsidR="00707CFF" w:rsidRDefault="00707CFF"/>
    <w:p w:rsidR="003B6784" w:rsidRDefault="003B6784">
      <w:pPr>
        <w:rPr>
          <w:b/>
          <w:bCs/>
          <w:u w:val="single"/>
        </w:rPr>
      </w:pPr>
      <w:r w:rsidRPr="000722A2">
        <w:rPr>
          <w:b/>
          <w:bCs/>
          <w:u w:val="single"/>
        </w:rPr>
        <w:t xml:space="preserve">PARTIE </w:t>
      </w:r>
      <w:r w:rsidR="0006259B" w:rsidRPr="000722A2">
        <w:rPr>
          <w:b/>
          <w:bCs/>
          <w:u w:val="single"/>
        </w:rPr>
        <w:t>4</w:t>
      </w:r>
      <w:r w:rsidRPr="000722A2">
        <w:rPr>
          <w:b/>
          <w:bCs/>
          <w:u w:val="single"/>
        </w:rPr>
        <w:t> :</w:t>
      </w:r>
      <w:r w:rsidR="0006259B" w:rsidRPr="000722A2">
        <w:rPr>
          <w:b/>
          <w:bCs/>
          <w:u w:val="single"/>
        </w:rPr>
        <w:t xml:space="preserve"> Désintégration radioactive</w:t>
      </w:r>
    </w:p>
    <w:p w:rsidR="003257F6" w:rsidRPr="003257F6" w:rsidRDefault="003257F6"/>
    <w:p w:rsidR="008274B3" w:rsidRPr="00FF7672" w:rsidRDefault="00FF7672" w:rsidP="0041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7672">
        <w:rPr>
          <w:rFonts w:ascii="Times New Roman" w:hAnsi="Times New Roman" w:cs="Times New Roman"/>
        </w:rPr>
        <w:t>Certains noyaux sont instables et se désintègre, c’est le phénomène de radioactivité.</w:t>
      </w:r>
    </w:p>
    <w:p w:rsidR="00FF7672" w:rsidRPr="00FF7672" w:rsidRDefault="00FF7672" w:rsidP="0041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7672">
        <w:rPr>
          <w:rFonts w:ascii="Times New Roman" w:hAnsi="Times New Roman" w:cs="Times New Roman"/>
        </w:rPr>
        <w:t xml:space="preserve">La désintégration radioactive satisfait à deux conditions : </w:t>
      </w:r>
    </w:p>
    <w:p w:rsidR="00FF7672" w:rsidRPr="00FF7672" w:rsidRDefault="003727F6" w:rsidP="0041708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7672">
        <w:rPr>
          <w:rFonts w:ascii="Times New Roman" w:hAnsi="Times New Roman" w:cs="Times New Roman"/>
        </w:rPr>
        <w:t>Un</w:t>
      </w:r>
      <w:r w:rsidR="00FF7672" w:rsidRPr="00FF7672">
        <w:rPr>
          <w:rFonts w:ascii="Times New Roman" w:hAnsi="Times New Roman" w:cs="Times New Roman"/>
        </w:rPr>
        <w:t xml:space="preserve"> noyau instable ne vieillit pas, sa probabilité de désintégration par unité de temps reste constante au cours du temps.</w:t>
      </w:r>
    </w:p>
    <w:p w:rsidR="00FF7672" w:rsidRPr="00FF7672" w:rsidRDefault="00FF7672" w:rsidP="0041708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7672">
        <w:rPr>
          <w:rFonts w:ascii="Times New Roman" w:hAnsi="Times New Roman" w:cs="Times New Roman"/>
        </w:rPr>
        <w:t>La désintégration d’un noyau n’affecte pas celle des autres</w:t>
      </w:r>
    </w:p>
    <w:p w:rsidR="008274B3" w:rsidRPr="008274B3" w:rsidRDefault="008274B3" w:rsidP="0041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:rsidR="003B6784" w:rsidRPr="008274B3" w:rsidRDefault="008274B3" w:rsidP="0041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1708B">
        <w:rPr>
          <w:rFonts w:ascii="Times New Roman" w:hAnsi="Times New Roman" w:cs="Times New Roman"/>
          <w:b/>
          <w:bCs/>
        </w:rPr>
        <w:t>Être informé</w:t>
      </w:r>
      <w:r w:rsidRPr="008274B3">
        <w:rPr>
          <w:rFonts w:ascii="Times New Roman" w:hAnsi="Times New Roman" w:cs="Times New Roman"/>
        </w:rPr>
        <w:t> : Aller dans « lycée connecté » et rechercher la définition de la radioactivité dans « l’encyclopédie Universalis » via le « Media Centre ».</w:t>
      </w:r>
    </w:p>
    <w:p w:rsidR="003B6784" w:rsidRDefault="003B6784"/>
    <w:p w:rsidR="003B6784" w:rsidRDefault="0041708B">
      <w:r>
        <w:t xml:space="preserve">Ainsi pour modéliser la désintégration radioactive on prendra </w:t>
      </w:r>
      <m:oMath>
        <m:r>
          <w:rPr>
            <w:rFonts w:ascii="Cambria Math" w:hAnsi="Cambria Math"/>
          </w:rPr>
          <m:t>n</m:t>
        </m:r>
      </m:oMath>
      <w:r>
        <w:t xml:space="preserve"> noyaux. Chaque noyau a la probabilité </w:t>
      </w:r>
      <m:oMath>
        <m:r>
          <w:rPr>
            <w:rFonts w:ascii="Cambria Math" w:hAnsi="Cambria Math"/>
          </w:rPr>
          <m:t>p</m:t>
        </m:r>
      </m:oMath>
      <w:r>
        <w:t xml:space="preserve"> de se désintégrer</w:t>
      </w:r>
      <w:r w:rsidR="003727F6">
        <w:t xml:space="preserve">. Modéliser ce phénomène à l’aide d’une fonction </w:t>
      </w:r>
      <w:proofErr w:type="gramStart"/>
      <w:r w:rsidR="003727F6" w:rsidRPr="00757A4F">
        <w:rPr>
          <w:i/>
          <w:iCs/>
          <w:color w:val="00B0F0"/>
        </w:rPr>
        <w:t>désintégration(</w:t>
      </w:r>
      <w:proofErr w:type="gramEnd"/>
      <m:oMath>
        <m:r>
          <w:rPr>
            <w:rFonts w:ascii="Cambria Math" w:hAnsi="Cambria Math"/>
            <w:color w:val="00B0F0"/>
          </w:rPr>
          <m:t>n</m:t>
        </m:r>
      </m:oMath>
      <w:r w:rsidR="003727F6" w:rsidRPr="00757A4F">
        <w:rPr>
          <w:i/>
          <w:iCs/>
          <w:color w:val="00B0F0"/>
        </w:rPr>
        <w:t>,</w:t>
      </w:r>
      <m:oMath>
        <m:r>
          <w:rPr>
            <w:rFonts w:ascii="Cambria Math" w:hAnsi="Cambria Math"/>
            <w:color w:val="00B0F0"/>
          </w:rPr>
          <m:t>p</m:t>
        </m:r>
      </m:oMath>
      <w:r w:rsidR="003727F6" w:rsidRPr="00757A4F">
        <w:rPr>
          <w:i/>
          <w:iCs/>
          <w:color w:val="00B0F0"/>
        </w:rPr>
        <w:t>)</w:t>
      </w:r>
      <w:r w:rsidR="003727F6">
        <w:t xml:space="preserve">. </w:t>
      </w:r>
    </w:p>
    <w:p w:rsidR="0041708B" w:rsidRDefault="003727F6">
      <w:r>
        <w:t xml:space="preserve">On assimilera un noyau à un dé, </w:t>
      </w:r>
      <w:r w:rsidR="00F040ED">
        <w:t>et la probabilité de se désintégrer à celle de faire 6.</w:t>
      </w:r>
    </w:p>
    <w:p w:rsidR="00F040ED" w:rsidRDefault="00F040ED">
      <w:r w:rsidRPr="009918E6">
        <w:rPr>
          <w:b/>
          <w:bCs/>
        </w:rPr>
        <w:t>1</w:t>
      </w:r>
      <w:r w:rsidR="00B4687F">
        <w:rPr>
          <w:b/>
          <w:bCs/>
        </w:rPr>
        <w:t>.</w:t>
      </w:r>
      <w:r>
        <w:t xml:space="preserve"> Afin de simuler la </w:t>
      </w:r>
      <w:r w:rsidR="009918E6">
        <w:t>probabilité</w:t>
      </w:r>
      <w:r>
        <w:t xml:space="preserve"> qu’un noya</w:t>
      </w:r>
      <w:r w:rsidR="00E66027">
        <w:t>u</w:t>
      </w:r>
      <w:r>
        <w:t xml:space="preserve"> a à se désintégrer, on utilisera la fonction </w:t>
      </w:r>
      <w:proofErr w:type="gramStart"/>
      <w:r w:rsidR="009918E6" w:rsidRPr="00757A4F">
        <w:rPr>
          <w:i/>
          <w:iCs/>
          <w:color w:val="00B0F0"/>
        </w:rPr>
        <w:t>uniform</w:t>
      </w:r>
      <w:r w:rsidRPr="00757A4F">
        <w:rPr>
          <w:color w:val="00B0F0"/>
        </w:rPr>
        <w:t>(</w:t>
      </w:r>
      <w:proofErr w:type="gramEnd"/>
      <m:oMath>
        <m:r>
          <w:rPr>
            <w:rFonts w:ascii="Cambria Math" w:hAnsi="Cambria Math"/>
            <w:color w:val="00B0F0"/>
          </w:rPr>
          <m:t>a</m:t>
        </m:r>
      </m:oMath>
      <w:r w:rsidR="009918E6" w:rsidRPr="00757A4F">
        <w:rPr>
          <w:color w:val="00B0F0"/>
        </w:rPr>
        <w:t>,</w:t>
      </w:r>
      <m:oMath>
        <m:r>
          <w:rPr>
            <w:rFonts w:ascii="Cambria Math" w:hAnsi="Cambria Math"/>
            <w:color w:val="00B0F0"/>
          </w:rPr>
          <m:t>b</m:t>
        </m:r>
      </m:oMath>
      <w:r w:rsidRPr="00757A4F">
        <w:rPr>
          <w:color w:val="00B0F0"/>
        </w:rPr>
        <w:t xml:space="preserve">) </w:t>
      </w:r>
      <w:r>
        <w:t xml:space="preserve">de la bibliothèque </w:t>
      </w:r>
      <w:r w:rsidRPr="00757A4F">
        <w:rPr>
          <w:i/>
          <w:iCs/>
          <w:color w:val="00B0F0"/>
        </w:rPr>
        <w:t>random</w:t>
      </w:r>
      <w:r w:rsidR="009918E6" w:rsidRPr="00757A4F">
        <w:rPr>
          <w:color w:val="00B0F0"/>
        </w:rPr>
        <w:t>.</w:t>
      </w:r>
    </w:p>
    <w:p w:rsidR="00F040ED" w:rsidRDefault="009918E6">
      <w:r>
        <w:t xml:space="preserve">Supposons que </w:t>
      </w:r>
      <m:oMath>
        <m:r>
          <w:rPr>
            <w:rFonts w:ascii="Cambria Math" w:hAnsi="Cambria Math"/>
          </w:rPr>
          <m:t>p</m:t>
        </m:r>
      </m:oMath>
      <w:r>
        <w:t xml:space="preserve"> = 0,2, comment simuler cette probabilité ?</w:t>
      </w:r>
    </w:p>
    <w:p w:rsidR="0041708B" w:rsidRDefault="009918E6">
      <w:r w:rsidRPr="009918E6">
        <w:rPr>
          <w:b/>
          <w:bCs/>
        </w:rPr>
        <w:t>2</w:t>
      </w:r>
      <w:r w:rsidR="00B4687F">
        <w:rPr>
          <w:b/>
          <w:bCs/>
        </w:rPr>
        <w:t>.</w:t>
      </w:r>
      <w:r>
        <w:t xml:space="preserve"> Adapter la fonction </w:t>
      </w:r>
      <w:proofErr w:type="gramStart"/>
      <w:r w:rsidRPr="006101EE">
        <w:rPr>
          <w:i/>
          <w:iCs/>
          <w:color w:val="00B0F0"/>
        </w:rPr>
        <w:t>lancer(</w:t>
      </w:r>
      <w:proofErr w:type="gramEnd"/>
      <m:oMath>
        <m:r>
          <w:rPr>
            <w:rFonts w:ascii="Cambria Math" w:hAnsi="Cambria Math"/>
            <w:color w:val="00B0F0"/>
          </w:rPr>
          <m:t>n</m:t>
        </m:r>
      </m:oMath>
      <w:r w:rsidRPr="006101EE">
        <w:rPr>
          <w:i/>
          <w:iCs/>
          <w:color w:val="00B0F0"/>
        </w:rPr>
        <w:t>)</w:t>
      </w:r>
      <w:r w:rsidRPr="006101EE">
        <w:rPr>
          <w:color w:val="00B0F0"/>
        </w:rPr>
        <w:t xml:space="preserve"> </w:t>
      </w:r>
      <w:r>
        <w:t xml:space="preserve">aux nouvelles conditions afin de créer la fonction </w:t>
      </w:r>
      <w:r w:rsidRPr="009918E6">
        <w:rPr>
          <w:i/>
          <w:iCs/>
        </w:rPr>
        <w:t>désintégration(</w:t>
      </w:r>
      <m:oMath>
        <m:r>
          <w:rPr>
            <w:rFonts w:ascii="Cambria Math" w:hAnsi="Cambria Math"/>
          </w:rPr>
          <m:t>n</m:t>
        </m:r>
      </m:oMath>
      <w:r w:rsidRPr="009918E6">
        <w:rPr>
          <w:i/>
          <w:iCs/>
        </w:rPr>
        <w:t>,</w:t>
      </w:r>
      <m:oMath>
        <m:r>
          <w:rPr>
            <w:rFonts w:ascii="Cambria Math" w:hAnsi="Cambria Math"/>
          </w:rPr>
          <m:t>p</m:t>
        </m:r>
      </m:oMath>
      <w:r w:rsidRPr="009918E6">
        <w:rPr>
          <w:i/>
          <w:iCs/>
        </w:rPr>
        <w:t>)</w:t>
      </w:r>
      <w:r>
        <w:t>.</w:t>
      </w:r>
    </w:p>
    <w:p w:rsidR="0041708B" w:rsidRDefault="00F868D1">
      <w:r w:rsidRPr="00F868D1">
        <w:rPr>
          <w:b/>
          <w:bCs/>
        </w:rPr>
        <w:t>3</w:t>
      </w:r>
      <w:r w:rsidR="00B4687F">
        <w:rPr>
          <w:b/>
          <w:bCs/>
        </w:rPr>
        <w:t>.</w:t>
      </w:r>
      <w:r>
        <w:t xml:space="preserve"> Modifier la fonction </w:t>
      </w:r>
      <w:proofErr w:type="gramStart"/>
      <w:r w:rsidRPr="006101EE">
        <w:rPr>
          <w:i/>
          <w:iCs/>
          <w:color w:val="00B0F0"/>
        </w:rPr>
        <w:t>désintégration(</w:t>
      </w:r>
      <w:proofErr w:type="gramEnd"/>
      <m:oMath>
        <m:r>
          <w:rPr>
            <w:rFonts w:ascii="Cambria Math" w:hAnsi="Cambria Math"/>
            <w:color w:val="00B0F0"/>
          </w:rPr>
          <m:t>n</m:t>
        </m:r>
      </m:oMath>
      <w:r w:rsidRPr="006101EE">
        <w:rPr>
          <w:i/>
          <w:iCs/>
          <w:color w:val="00B0F0"/>
        </w:rPr>
        <w:t>,</w:t>
      </w:r>
      <m:oMath>
        <m:r>
          <w:rPr>
            <w:rFonts w:ascii="Cambria Math" w:hAnsi="Cambria Math"/>
            <w:color w:val="00B0F0"/>
          </w:rPr>
          <m:t>p</m:t>
        </m:r>
      </m:oMath>
      <w:r w:rsidRPr="006101EE">
        <w:rPr>
          <w:i/>
          <w:iCs/>
          <w:color w:val="00B0F0"/>
        </w:rPr>
        <w:t>)</w:t>
      </w:r>
      <w:r w:rsidRPr="006101EE">
        <w:rPr>
          <w:color w:val="00B0F0"/>
        </w:rPr>
        <w:t xml:space="preserve"> </w:t>
      </w:r>
      <w:r>
        <w:t xml:space="preserve">afin de calculer la demi-vie du noyau dont la désintégration nous intéresse. On nommera </w:t>
      </w:r>
      <w:r w:rsidRPr="006101EE">
        <w:rPr>
          <w:i/>
          <w:iCs/>
          <w:color w:val="00B0F0"/>
        </w:rPr>
        <w:t>désintégration_</w:t>
      </w:r>
      <w:proofErr w:type="gramStart"/>
      <w:r w:rsidRPr="006101EE">
        <w:rPr>
          <w:i/>
          <w:iCs/>
          <w:color w:val="00B0F0"/>
        </w:rPr>
        <w:t>demi(</w:t>
      </w:r>
      <w:proofErr w:type="gramEnd"/>
      <m:oMath>
        <m:r>
          <w:rPr>
            <w:rFonts w:ascii="Cambria Math" w:hAnsi="Cambria Math"/>
            <w:color w:val="00B0F0"/>
          </w:rPr>
          <m:t>n</m:t>
        </m:r>
      </m:oMath>
      <w:r w:rsidRPr="006101EE">
        <w:rPr>
          <w:i/>
          <w:iCs/>
          <w:color w:val="00B0F0"/>
        </w:rPr>
        <w:t>,</w:t>
      </w:r>
      <m:oMath>
        <m:r>
          <w:rPr>
            <w:rFonts w:ascii="Cambria Math" w:hAnsi="Cambria Math"/>
            <w:color w:val="00B0F0"/>
          </w:rPr>
          <m:t>p</m:t>
        </m:r>
      </m:oMath>
      <w:r w:rsidRPr="006101EE">
        <w:rPr>
          <w:i/>
          <w:iCs/>
          <w:color w:val="00B0F0"/>
        </w:rPr>
        <w:t>)</w:t>
      </w:r>
      <w:r w:rsidRPr="006101EE">
        <w:rPr>
          <w:color w:val="00B0F0"/>
        </w:rPr>
        <w:t xml:space="preserve"> </w:t>
      </w:r>
      <w:r>
        <w:t>cette fonction. (On pourra reprendre le travail effectué dans la partie 2.</w:t>
      </w:r>
      <w:r w:rsidR="00E66027">
        <w:t>)</w:t>
      </w:r>
    </w:p>
    <w:p w:rsidR="00F868D1" w:rsidRDefault="00F868D1">
      <w:r w:rsidRPr="00F868D1">
        <w:rPr>
          <w:b/>
          <w:bCs/>
        </w:rPr>
        <w:t>4</w:t>
      </w:r>
      <w:r w:rsidR="00B4687F">
        <w:rPr>
          <w:b/>
          <w:bCs/>
        </w:rPr>
        <w:t>.</w:t>
      </w:r>
      <w:r>
        <w:t xml:space="preserve"> Le </w:t>
      </w:r>
      <w:r w:rsidRPr="00E66027">
        <w:rPr>
          <w:b/>
          <w:bCs/>
        </w:rPr>
        <w:t>tritium</w:t>
      </w:r>
      <w:r>
        <w:t xml:space="preserve"> est un isotope radioactif de l’hydrogène. </w:t>
      </w:r>
      <w:r w:rsidRPr="00E66027">
        <w:rPr>
          <w:rFonts w:ascii="Times New Roman" w:hAnsi="Times New Roman" w:cs="Times New Roman"/>
        </w:rPr>
        <w:t>Il est notamment utilisé au LMJ (</w:t>
      </w:r>
      <w:r w:rsidRPr="00E66027">
        <w:rPr>
          <w:rFonts w:ascii="Times New Roman" w:hAnsi="Times New Roman" w:cs="Times New Roman"/>
          <w:b/>
          <w:bCs/>
        </w:rPr>
        <w:t>L</w:t>
      </w:r>
      <w:r w:rsidRPr="00E66027">
        <w:rPr>
          <w:rFonts w:ascii="Times New Roman" w:hAnsi="Times New Roman" w:cs="Times New Roman"/>
        </w:rPr>
        <w:t xml:space="preserve">aser </w:t>
      </w:r>
      <w:r w:rsidRPr="00E66027">
        <w:rPr>
          <w:rFonts w:ascii="Times New Roman" w:hAnsi="Times New Roman" w:cs="Times New Roman"/>
          <w:b/>
          <w:bCs/>
        </w:rPr>
        <w:t>M</w:t>
      </w:r>
      <w:r w:rsidRPr="00E66027">
        <w:rPr>
          <w:rFonts w:ascii="Times New Roman" w:hAnsi="Times New Roman" w:cs="Times New Roman"/>
        </w:rPr>
        <w:t xml:space="preserve">éga </w:t>
      </w:r>
      <w:r w:rsidRPr="00E66027">
        <w:rPr>
          <w:rFonts w:ascii="Times New Roman" w:hAnsi="Times New Roman" w:cs="Times New Roman"/>
          <w:b/>
          <w:bCs/>
        </w:rPr>
        <w:t>J</w:t>
      </w:r>
      <w:r w:rsidRPr="00E66027">
        <w:rPr>
          <w:rFonts w:ascii="Times New Roman" w:hAnsi="Times New Roman" w:cs="Times New Roman"/>
        </w:rPr>
        <w:t xml:space="preserve">oule, Le Barp) afin d’étudier la fusion nucléaire avec le </w:t>
      </w:r>
      <w:proofErr w:type="gramStart"/>
      <w:r w:rsidRPr="00E66027">
        <w:rPr>
          <w:rFonts w:ascii="Times New Roman" w:hAnsi="Times New Roman" w:cs="Times New Roman"/>
        </w:rPr>
        <w:t>deutérium</w:t>
      </w:r>
      <w:r w:rsidR="00E66027">
        <w:rPr>
          <w:rFonts w:ascii="Times New Roman" w:hAnsi="Times New Roman" w:cs="Times New Roman"/>
        </w:rPr>
        <w:t>(</w:t>
      </w:r>
      <w:proofErr w:type="gramEnd"/>
      <w:r w:rsidR="00E66027">
        <w:rPr>
          <w:rFonts w:ascii="Times New Roman" w:hAnsi="Times New Roman" w:cs="Times New Roman"/>
        </w:rPr>
        <w:t>autre isotope de l’hydrogène)</w:t>
      </w:r>
      <w:r w:rsidRPr="00E66027">
        <w:rPr>
          <w:rFonts w:ascii="Times New Roman" w:hAnsi="Times New Roman" w:cs="Times New Roman"/>
        </w:rPr>
        <w:t>.</w:t>
      </w:r>
    </w:p>
    <w:p w:rsidR="00F868D1" w:rsidRPr="00F868D1" w:rsidRDefault="00F868D1">
      <w:pPr>
        <w:rPr>
          <w:rFonts w:ascii="Times New Roman" w:hAnsi="Times New Roman" w:cs="Times New Roman"/>
        </w:rPr>
      </w:pPr>
      <w:r w:rsidRPr="00F868D1">
        <w:rPr>
          <w:rFonts w:ascii="Times New Roman" w:hAnsi="Times New Roman" w:cs="Times New Roman"/>
        </w:rPr>
        <w:t xml:space="preserve">En savoir plus : </w:t>
      </w:r>
      <w:hyperlink r:id="rId11" w:history="1">
        <w:r w:rsidRPr="00F868D1">
          <w:rPr>
            <w:rStyle w:val="Lienhypertexte"/>
            <w:rFonts w:ascii="Times New Roman" w:hAnsi="Times New Roman" w:cs="Times New Roman"/>
          </w:rPr>
          <w:t>http://www-lmj.cea.fr/fr/experiences/index.htm</w:t>
        </w:r>
      </w:hyperlink>
    </w:p>
    <w:p w:rsidR="00F868D1" w:rsidRDefault="00F868D1">
      <w:r>
        <w:t>On sait qu’un noyau de tritium sur 650 disparait tous les 10 jours.</w:t>
      </w:r>
    </w:p>
    <w:p w:rsidR="00F868D1" w:rsidRDefault="00F868D1">
      <w:r>
        <w:tab/>
      </w:r>
      <w:r w:rsidRPr="00AA0BF9">
        <w:rPr>
          <w:b/>
          <w:bCs/>
        </w:rPr>
        <w:t>a</w:t>
      </w:r>
      <w:r w:rsidR="00B4687F">
        <w:rPr>
          <w:b/>
          <w:bCs/>
        </w:rPr>
        <w:t>.</w:t>
      </w:r>
      <w:r>
        <w:t xml:space="preserve"> Déterminer la probabilité qu’un noyau de tritium disparaisse tous les 10 jours.</w:t>
      </w:r>
    </w:p>
    <w:p w:rsidR="00F868D1" w:rsidRDefault="00F868D1">
      <w:r>
        <w:tab/>
      </w:r>
      <w:r w:rsidRPr="00AA0BF9">
        <w:rPr>
          <w:b/>
          <w:bCs/>
        </w:rPr>
        <w:t>b</w:t>
      </w:r>
      <w:r w:rsidR="00B4687F">
        <w:rPr>
          <w:b/>
          <w:bCs/>
        </w:rPr>
        <w:t>.</w:t>
      </w:r>
      <w:r>
        <w:t xml:space="preserve"> Utiliser le programme </w:t>
      </w:r>
      <w:r w:rsidRPr="00F868D1">
        <w:rPr>
          <w:i/>
          <w:iCs/>
        </w:rPr>
        <w:t>désintégration_</w:t>
      </w:r>
      <w:proofErr w:type="gramStart"/>
      <w:r w:rsidRPr="00F868D1">
        <w:rPr>
          <w:i/>
          <w:iCs/>
        </w:rPr>
        <w:t>demi(</w:t>
      </w:r>
      <w:proofErr w:type="gramEnd"/>
      <m:oMath>
        <m:r>
          <w:rPr>
            <w:rFonts w:ascii="Cambria Math" w:hAnsi="Cambria Math"/>
          </w:rPr>
          <m:t>n</m:t>
        </m:r>
      </m:oMath>
      <w:r w:rsidRPr="00F868D1">
        <w:rPr>
          <w:i/>
          <w:iCs/>
        </w:rPr>
        <w:t>,</w:t>
      </w:r>
      <m:oMath>
        <m:r>
          <w:rPr>
            <w:rFonts w:ascii="Cambria Math" w:hAnsi="Cambria Math"/>
          </w:rPr>
          <m:t>p</m:t>
        </m:r>
      </m:oMath>
      <w:r w:rsidRPr="00F868D1">
        <w:rPr>
          <w:i/>
          <w:iCs/>
        </w:rPr>
        <w:t>)</w:t>
      </w:r>
      <w:r>
        <w:t xml:space="preserve"> pour déterminer la demi vie du tritium. On rappelle que l’on a conjecturé que la demi-vie ne dépendait pas du nombre de noyau</w:t>
      </w:r>
      <w:r w:rsidR="00AA0BF9">
        <w:t>x</w:t>
      </w:r>
      <w:r>
        <w:t xml:space="preserve"> initialement présent</w:t>
      </w:r>
      <w:r w:rsidR="00AA0BF9">
        <w:t>s</w:t>
      </w:r>
      <w:r>
        <w:t>. (</w:t>
      </w:r>
      <w:proofErr w:type="gramStart"/>
      <w:r>
        <w:t>cf.</w:t>
      </w:r>
      <w:proofErr w:type="gramEnd"/>
      <w:r>
        <w:t xml:space="preserve"> Partie 2 6°)b).</w:t>
      </w:r>
    </w:p>
    <w:p w:rsidR="003257F6" w:rsidRDefault="003257F6">
      <w:r>
        <w:tab/>
      </w:r>
      <w:r w:rsidRPr="003257F6">
        <w:rPr>
          <w:b/>
          <w:bCs/>
        </w:rPr>
        <w:t>c</w:t>
      </w:r>
      <w:r w:rsidR="00B4687F">
        <w:rPr>
          <w:b/>
          <w:bCs/>
        </w:rPr>
        <w:t>.</w:t>
      </w:r>
      <w:r>
        <w:t xml:space="preserve"> Adapter le programme précédent pour déterminer le temps au bout duquel le les trois quarts des noyaux de tritium auront disparu.</w:t>
      </w:r>
    </w:p>
    <w:p w:rsidR="00E66027" w:rsidRDefault="00E66027">
      <w:r>
        <w:tab/>
      </w:r>
      <w:r w:rsidRPr="00707CFF">
        <w:rPr>
          <w:b/>
          <w:bCs/>
        </w:rPr>
        <w:t>d</w:t>
      </w:r>
      <w:r w:rsidR="00B4687F">
        <w:rPr>
          <w:b/>
          <w:bCs/>
        </w:rPr>
        <w:t>.</w:t>
      </w:r>
      <w:bookmarkStart w:id="0" w:name="_GoBack"/>
      <w:bookmarkEnd w:id="0"/>
      <w:r>
        <w:t xml:space="preserve"> Au bout de combien d’années 90% des noyaux de tritium auront-ils disparu ?</w:t>
      </w:r>
    </w:p>
    <w:p w:rsidR="003257F6" w:rsidRDefault="003257F6"/>
    <w:p w:rsidR="003257F6" w:rsidRPr="003257F6" w:rsidRDefault="003257F6">
      <w:pPr>
        <w:rPr>
          <w:b/>
          <w:bCs/>
          <w:u w:val="single"/>
        </w:rPr>
      </w:pPr>
      <w:r w:rsidRPr="003257F6">
        <w:rPr>
          <w:b/>
          <w:bCs/>
          <w:u w:val="single"/>
        </w:rPr>
        <w:t xml:space="preserve">Pour aller plus loin : </w:t>
      </w:r>
      <w:r w:rsidR="00707CFF">
        <w:rPr>
          <w:b/>
          <w:bCs/>
          <w:u w:val="single"/>
        </w:rPr>
        <w:t>(Bonus)</w:t>
      </w:r>
    </w:p>
    <w:p w:rsidR="003257F6" w:rsidRDefault="003257F6">
      <w:r>
        <w:t xml:space="preserve">Afin de déterminer la relation qui lie le nombre de noyaux radioactifs avec le temps écoulé, on pourra créer une fonction </w:t>
      </w:r>
      <w:r w:rsidRPr="006101EE">
        <w:rPr>
          <w:i/>
          <w:iCs/>
          <w:color w:val="00B0F0"/>
        </w:rPr>
        <w:t>désintégration_</w:t>
      </w:r>
      <w:proofErr w:type="gramStart"/>
      <w:r w:rsidRPr="006101EE">
        <w:rPr>
          <w:i/>
          <w:iCs/>
          <w:color w:val="00B0F0"/>
        </w:rPr>
        <w:t>graphe(</w:t>
      </w:r>
      <w:proofErr w:type="gramEnd"/>
      <m:oMath>
        <m:r>
          <w:rPr>
            <w:rFonts w:ascii="Cambria Math" w:hAnsi="Cambria Math"/>
            <w:color w:val="00B0F0"/>
          </w:rPr>
          <m:t>n</m:t>
        </m:r>
      </m:oMath>
      <w:r w:rsidRPr="006101EE">
        <w:rPr>
          <w:i/>
          <w:iCs/>
          <w:color w:val="00B0F0"/>
        </w:rPr>
        <w:t>,</w:t>
      </w:r>
      <m:oMath>
        <m:r>
          <w:rPr>
            <w:rFonts w:ascii="Cambria Math" w:hAnsi="Cambria Math"/>
            <w:color w:val="00B0F0"/>
          </w:rPr>
          <m:t>p</m:t>
        </m:r>
      </m:oMath>
      <w:r w:rsidRPr="006101EE">
        <w:rPr>
          <w:i/>
          <w:iCs/>
          <w:color w:val="00B0F0"/>
        </w:rPr>
        <w:t>)</w:t>
      </w:r>
      <w:r>
        <w:t>, et à l’aide d’un ajustement affine, en repère semi-logarithmique, on pourra proposer une approximation de la relation liant les deux quantités.</w:t>
      </w:r>
    </w:p>
    <w:p w:rsidR="00F868D1" w:rsidRDefault="00F868D1"/>
    <w:p w:rsidR="00F868D1" w:rsidRDefault="00F868D1"/>
    <w:p w:rsidR="0041708B" w:rsidRDefault="0041708B"/>
    <w:p w:rsidR="00F254A8" w:rsidRPr="00F254A8" w:rsidRDefault="00F254A8">
      <w:pPr>
        <w:rPr>
          <w:b/>
          <w:bCs/>
        </w:rPr>
      </w:pPr>
      <w:r w:rsidRPr="00F254A8">
        <w:rPr>
          <w:b/>
          <w:bCs/>
        </w:rPr>
        <w:t xml:space="preserve">Boite à outils : </w:t>
      </w:r>
    </w:p>
    <w:p w:rsidR="00F254A8" w:rsidRDefault="00F254A8" w:rsidP="00F254A8">
      <w:pPr>
        <w:pStyle w:val="Paragraphedeliste"/>
        <w:numPr>
          <w:ilvl w:val="0"/>
          <w:numId w:val="1"/>
        </w:numPr>
      </w:pPr>
      <w:r>
        <w:t xml:space="preserve">La bibliothèque </w:t>
      </w:r>
      <w:r w:rsidRPr="00F254A8">
        <w:rPr>
          <w:i/>
          <w:iCs/>
        </w:rPr>
        <w:t>random</w:t>
      </w:r>
      <w:r>
        <w:t xml:space="preserve"> contient des fonctions qui permettent de simuler le hasard.</w:t>
      </w:r>
    </w:p>
    <w:p w:rsidR="00F254A8" w:rsidRDefault="00F254A8" w:rsidP="00F254A8">
      <w:pPr>
        <w:pStyle w:val="Paragraphedeliste"/>
        <w:numPr>
          <w:ilvl w:val="0"/>
          <w:numId w:val="1"/>
        </w:numPr>
      </w:pPr>
      <w:r>
        <w:t xml:space="preserve">La fonction </w:t>
      </w:r>
      <w:proofErr w:type="gramStart"/>
      <w:r w:rsidRPr="00F254A8">
        <w:rPr>
          <w:i/>
          <w:iCs/>
        </w:rPr>
        <w:t>randint(</w:t>
      </w:r>
      <w:proofErr w:type="gramEnd"/>
      <m:oMath>
        <m:r>
          <w:rPr>
            <w:rFonts w:ascii="Cambria Math" w:hAnsi="Cambria Math"/>
          </w:rPr>
          <m:t>a</m:t>
        </m:r>
      </m:oMath>
      <w:r w:rsidRPr="00F254A8">
        <w:rPr>
          <w:i/>
          <w:iCs/>
        </w:rPr>
        <w:t>,</w:t>
      </w:r>
      <m:oMath>
        <m:r>
          <w:rPr>
            <w:rFonts w:ascii="Cambria Math" w:hAnsi="Cambria Math"/>
          </w:rPr>
          <m:t>b</m:t>
        </m:r>
      </m:oMath>
      <w:r w:rsidRPr="00F254A8">
        <w:rPr>
          <w:i/>
          <w:iCs/>
        </w:rPr>
        <w:t>)</w:t>
      </w:r>
      <w:r>
        <w:t xml:space="preserve">, où </w:t>
      </w:r>
      <m:oMath>
        <m:r>
          <w:rPr>
            <w:rFonts w:ascii="Cambria Math" w:hAnsi="Cambria Math"/>
          </w:rPr>
          <m:t xml:space="preserve">a </m:t>
        </m:r>
      </m:oMath>
      <w:r>
        <w:t xml:space="preserve">et </w:t>
      </w:r>
      <m:oMath>
        <m:r>
          <w:rPr>
            <w:rFonts w:ascii="Cambria Math" w:hAnsi="Cambria Math"/>
          </w:rPr>
          <m:t>b</m:t>
        </m:r>
      </m:oMath>
      <w:r>
        <w:t xml:space="preserve"> sont des entiers relatifs permet de renvoyer un entier compris entre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b</m:t>
        </m:r>
      </m:oMath>
      <w:r>
        <w:t xml:space="preserve">, ce résultat pouvant être égal à </w:t>
      </w:r>
      <m:oMath>
        <m:r>
          <w:rPr>
            <w:rFonts w:ascii="Cambria Math" w:hAnsi="Cambria Math"/>
          </w:rPr>
          <m:t>a</m:t>
        </m:r>
      </m:oMath>
      <w:r>
        <w:t xml:space="preserve"> ou à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:rsidR="009918E6" w:rsidRDefault="009918E6" w:rsidP="00F254A8">
      <w:pPr>
        <w:pStyle w:val="Paragraphedeliste"/>
        <w:numPr>
          <w:ilvl w:val="0"/>
          <w:numId w:val="1"/>
        </w:numPr>
      </w:pPr>
      <w:r>
        <w:t xml:space="preserve">La fonction </w:t>
      </w:r>
      <w:proofErr w:type="gramStart"/>
      <w:r w:rsidRPr="009918E6">
        <w:rPr>
          <w:i/>
          <w:iCs/>
        </w:rPr>
        <w:t>uniform(</w:t>
      </w:r>
      <w:proofErr w:type="gramEnd"/>
      <m:oMath>
        <m:r>
          <w:rPr>
            <w:rFonts w:ascii="Cambria Math" w:hAnsi="Cambria Math"/>
          </w:rPr>
          <m:t>a</m:t>
        </m:r>
      </m:oMath>
      <w:r w:rsidRPr="009918E6">
        <w:rPr>
          <w:i/>
          <w:iCs/>
        </w:rPr>
        <w:t>,</w:t>
      </w:r>
      <m:oMath>
        <m:r>
          <w:rPr>
            <w:rFonts w:ascii="Cambria Math" w:hAnsi="Cambria Math"/>
          </w:rPr>
          <m:t>b</m:t>
        </m:r>
      </m:oMath>
      <w:r w:rsidRPr="009918E6">
        <w:rPr>
          <w:i/>
          <w:iCs/>
        </w:rPr>
        <w:t>)</w:t>
      </w:r>
      <w:r>
        <w:t xml:space="preserve"> renvoi un « float » de [</w:t>
      </w:r>
      <m:oMath>
        <m:r>
          <w:rPr>
            <w:rFonts w:ascii="Cambria Math" w:hAnsi="Cambria Math"/>
          </w:rPr>
          <m:t>a</m:t>
        </m:r>
      </m:oMath>
      <w:r>
        <w:t> ;</w:t>
      </w:r>
      <m:oMath>
        <m:r>
          <w:rPr>
            <w:rFonts w:ascii="Cambria Math" w:hAnsi="Cambria Math"/>
          </w:rPr>
          <m:t>b</m:t>
        </m:r>
      </m:oMath>
      <w:r>
        <w:t>].</w:t>
      </w:r>
    </w:p>
    <w:p w:rsidR="009F12D7" w:rsidRDefault="009F12D7" w:rsidP="00F254A8">
      <w:pPr>
        <w:pStyle w:val="Paragraphedeliste"/>
        <w:numPr>
          <w:ilvl w:val="0"/>
          <w:numId w:val="1"/>
        </w:numPr>
      </w:pPr>
      <w:r>
        <w:t xml:space="preserve">La nombre d’éléments d’une liste L, ou longueur de L est </w:t>
      </w:r>
      <w:r w:rsidRPr="009F12D7">
        <w:rPr>
          <w:i/>
          <w:iCs/>
        </w:rPr>
        <w:t>len(L)</w:t>
      </w:r>
      <w:r>
        <w:t xml:space="preserve"> (len pour lenght)</w:t>
      </w:r>
    </w:p>
    <w:sectPr w:rsidR="009F12D7" w:rsidSect="00885F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233A"/>
    <w:multiLevelType w:val="hybridMultilevel"/>
    <w:tmpl w:val="23225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28B8"/>
    <w:multiLevelType w:val="hybridMultilevel"/>
    <w:tmpl w:val="4560FB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0E73"/>
    <w:rsid w:val="000453D7"/>
    <w:rsid w:val="0006259B"/>
    <w:rsid w:val="000722A2"/>
    <w:rsid w:val="00097A69"/>
    <w:rsid w:val="001D27B8"/>
    <w:rsid w:val="0030732F"/>
    <w:rsid w:val="003257F6"/>
    <w:rsid w:val="003727F6"/>
    <w:rsid w:val="003B6784"/>
    <w:rsid w:val="0041708B"/>
    <w:rsid w:val="00472010"/>
    <w:rsid w:val="004A5BD6"/>
    <w:rsid w:val="004F109A"/>
    <w:rsid w:val="006101EE"/>
    <w:rsid w:val="00707CFF"/>
    <w:rsid w:val="00757A4F"/>
    <w:rsid w:val="00773C49"/>
    <w:rsid w:val="008274B3"/>
    <w:rsid w:val="00885FFC"/>
    <w:rsid w:val="00893BC9"/>
    <w:rsid w:val="008E1B77"/>
    <w:rsid w:val="00974033"/>
    <w:rsid w:val="009918E6"/>
    <w:rsid w:val="009D6197"/>
    <w:rsid w:val="009F12D7"/>
    <w:rsid w:val="00AA0BF9"/>
    <w:rsid w:val="00AE46D0"/>
    <w:rsid w:val="00AF7EFC"/>
    <w:rsid w:val="00B4687F"/>
    <w:rsid w:val="00B93A62"/>
    <w:rsid w:val="00C32A5A"/>
    <w:rsid w:val="00D86DF9"/>
    <w:rsid w:val="00D91C30"/>
    <w:rsid w:val="00DD4063"/>
    <w:rsid w:val="00E66027"/>
    <w:rsid w:val="00F040ED"/>
    <w:rsid w:val="00F2326B"/>
    <w:rsid w:val="00F254A8"/>
    <w:rsid w:val="00F419BD"/>
    <w:rsid w:val="00F868D1"/>
    <w:rsid w:val="00FA06E1"/>
    <w:rsid w:val="00FB0E73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7732"/>
  <w15:chartTrackingRefBased/>
  <w15:docId w15:val="{D80BC601-87E4-421B-8283-0E155CE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4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A5BD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868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-lmj.cea.fr/fr/experiences/index.ht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TEULIE</dc:creator>
  <cp:keywords/>
  <dc:description/>
  <cp:lastModifiedBy>TEULIE</cp:lastModifiedBy>
  <cp:revision>5</cp:revision>
  <dcterms:created xsi:type="dcterms:W3CDTF">2019-10-04T16:39:00Z</dcterms:created>
  <dcterms:modified xsi:type="dcterms:W3CDTF">2019-10-31T20:19:00Z</dcterms:modified>
</cp:coreProperties>
</file>