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ED" w:rsidRPr="00A05F42" w:rsidRDefault="001425ED" w:rsidP="001425ED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222222"/>
          <w:sz w:val="14"/>
          <w:szCs w:val="14"/>
          <w:lang w:eastAsia="fr-FR"/>
        </w:rPr>
      </w:pPr>
      <w:r w:rsidRPr="00A05F42">
        <w:rPr>
          <w:rFonts w:ascii="Arial" w:eastAsia="Times New Roman" w:hAnsi="Arial" w:cs="Arial"/>
          <w:color w:val="222222"/>
          <w:sz w:val="14"/>
          <w:szCs w:val="14"/>
          <w:lang w:eastAsia="fr-FR"/>
        </w:rPr>
        <w:t>CHAPITRE TROISIÈME.</w:t>
      </w:r>
    </w:p>
    <w:p w:rsidR="001425ED" w:rsidRPr="00A05F42" w:rsidRDefault="001425ED" w:rsidP="001425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  <w:r w:rsidRPr="00A05F42">
        <w:rPr>
          <w:rFonts w:ascii="Arial" w:eastAsia="Times New Roman" w:hAnsi="Arial" w:cs="Arial"/>
          <w:color w:val="222222"/>
          <w:lang w:eastAsia="fr-FR"/>
        </w:rPr>
        <w:t>PREMIÈRE SECTION.</w:t>
      </w:r>
    </w:p>
    <w:p w:rsidR="001425ED" w:rsidRPr="00A05F42" w:rsidRDefault="001425ED" w:rsidP="001425ED">
      <w:pPr>
        <w:shd w:val="clear" w:color="auto" w:fill="FFFFFF"/>
        <w:spacing w:after="0"/>
        <w:jc w:val="center"/>
        <w:rPr>
          <w:rFonts w:ascii="Arial" w:eastAsia="Times New Roman" w:hAnsi="Arial" w:cs="Arial"/>
          <w:caps/>
          <w:color w:val="222222"/>
          <w:lang w:eastAsia="fr-FR"/>
        </w:rPr>
      </w:pPr>
      <w:r w:rsidRPr="00A05F42">
        <w:rPr>
          <w:rFonts w:ascii="Arial" w:eastAsia="Times New Roman" w:hAnsi="Arial" w:cs="Arial"/>
          <w:caps/>
          <w:color w:val="222222"/>
          <w:lang w:eastAsia="fr-FR"/>
        </w:rPr>
        <w:t>DU DEVOIR DE L’HOMME ENVERS LUI-MÊME, CONSIDÉRÉ COMME JUGE NATUREL DE LUI-MÊME.</w:t>
      </w:r>
    </w:p>
    <w:p w:rsidR="001425ED" w:rsidRPr="00A05F42" w:rsidRDefault="001425ED" w:rsidP="001425E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lang w:eastAsia="fr-FR"/>
        </w:rPr>
      </w:pPr>
      <w:r w:rsidRPr="00A05F42">
        <w:rPr>
          <w:rFonts w:ascii="Arial" w:eastAsia="Times New Roman" w:hAnsi="Arial" w:cs="Arial"/>
          <w:color w:val="222222"/>
          <w:lang w:eastAsia="fr-FR"/>
        </w:rPr>
        <w:t>§ 13.</w:t>
      </w:r>
    </w:p>
    <w:p w:rsidR="001425ED" w:rsidRPr="00190DE3" w:rsidRDefault="001425ED" w:rsidP="001425ED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lang w:eastAsia="fr-FR"/>
        </w:rPr>
      </w:pP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Tout concept de devoir implique celui d’une contrainte objective exercée par la loi (comme par un impératif moral qui restreint notre liberté), et il appartient à l’entendement pratique qui fournit la règle ; mais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l’imputabilité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intérieure d’un acte, comme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cas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soumis à la loi (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in meritum aut demeritum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) appartient au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jugement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judicium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), lequel, comme principe subjectif de l’imputabilité de l’action, décide au nom de la loi si cette action a eu lieu ou non comme acte imputable (comme action soumise à une loi), après quoi vient la décision de la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raison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(la sentence), qui joint à l’action son juste effet (la condamnation ou l’absolution). Et c’est ce qui se passe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en justice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coram judicio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), ou devant ce qu’on appelle le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tribunal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forum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) qui est comme une personne morale chargée de procurer à la loi son effet. — Ce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tribunal intérieur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que l’homme sent en lui (« devant lequel ses pensées s’accusent ou se justifient mutuellement ») est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la conscience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1425ED" w:rsidRPr="00190DE3" w:rsidRDefault="001425ED" w:rsidP="001425ED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lang w:eastAsia="fr-FR"/>
        </w:rPr>
      </w:pP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Tout homme a une conscience et se sent observé, menacé et en général tenu en respect (sorte d’estime mêlée de crainte) par un juge intérieur, et cette puissance qui veille en lui à l’exécution des lois n’est pas quelque chose qui soit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son ouvrage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(volontaire), mais elle est inhérente à son être. Elle le suit comme son ombre quand il pense s’y soustraire. Il a beau s’étourdir ou s’endormir au sein des plaisirs et des distractions ; il ne saurait s’empêcher de faire parfois un retour sur lui-même, ou de se réveiller, dès qu’il entend sa voix terrible. Il peut bien tomber dans un tel degré d’abjection qu’il en vienne à ne plus s’en soucier ; mais il ne peut jamais éviter de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l’entendre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1425ED" w:rsidRPr="00190DE3" w:rsidRDefault="001425ED" w:rsidP="001425ED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lang w:eastAsia="fr-FR"/>
        </w:rPr>
      </w:pP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Cette disposition originaire, à la fois intellectuelle et morale (puisqu’elle a rapport au devoir), qu’on appelle la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conscience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, a cela de particulier que, quoique l’homme y ait affaire avec lui-même, il se voit forcé par sa raison d’agir comme sur l’injonction d’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une autre personne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 Car il en est ici comme d’une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cause judiciaire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(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causa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). Concevoir celui qui est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accusé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par sa conscience comme ne faisant qu’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une seule et même personne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avec le juge, c’est une absurde façon de se représenter un tribunal ; car alors l’accusateur serait toujours sûr de perdre. — C’est pourquoi, dans tous les devoirs, la conscience de l’homme devra concevoir un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autre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juge de ses actions qu’elle-même, si elle ne veut pas tomber en contradiction avec elle-même. Or cet autre juge peut être une personne réelle, ou seulement une personne idéale, que la raison se donne à elle-même</w:t>
      </w:r>
      <w:hyperlink r:id="rId4" w:anchor="cite_note-p227-166" w:history="1"/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</w:t>
      </w:r>
    </w:p>
    <w:p w:rsidR="001425ED" w:rsidRDefault="001425ED" w:rsidP="001425ED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22222"/>
          <w:lang w:eastAsia="fr-FR"/>
        </w:rPr>
      </w:pP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Cette personne idéale (ce juge légitime de la conscience) doit pouvoir sonder les cœurs</w:t>
      </w:r>
      <w:r>
        <w:rPr>
          <w:rFonts w:ascii="Times New Roman" w:eastAsia="Times New Roman" w:hAnsi="Times New Roman" w:cs="Times New Roman"/>
          <w:color w:val="222222"/>
          <w:lang w:eastAsia="fr-FR"/>
        </w:rPr>
        <w:t> ;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 xml:space="preserve"> car il s’agit d’un tribunal établi dans l’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intérieur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de l’homme. — En même temps elle doit être le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principe de toute obligation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, c’est-à-dire qu’elle doit être une personne, ou conçue comme une personne dont tous nos devoirs en général puissent être considérés comme des ordres ; car la conscience est le juge intérieur de tous les actes libres. — Or, comme un tel être moral doit avoir en même temps toute puissance (dans le ciel et sur la terre), puisqu’il ne pourrait autrement (ce qui est pourtant une attribution nécessaire à sa qualité de juge) assurer à ses lois l’effet qui leur convient, cet être moral et tout puissant ne peut être que </w:t>
      </w:r>
      <w:r w:rsidRPr="00190DE3">
        <w:rPr>
          <w:rFonts w:ascii="Times New Roman" w:eastAsia="Times New Roman" w:hAnsi="Times New Roman" w:cs="Times New Roman"/>
          <w:i/>
          <w:iCs/>
          <w:color w:val="222222"/>
          <w:lang w:eastAsia="fr-FR"/>
        </w:rPr>
        <w:t>Dieu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 Il faut donc concevoir la conscience comme le principe subjectif d’un compte à rendre à Dieu de ses actions ; cette dernière idée est toujours impliquée (quoique d’une manière obscure) dans cette conscience morale de soi-même.</w:t>
      </w:r>
    </w:p>
    <w:p w:rsidR="001F7876" w:rsidRPr="001425ED" w:rsidRDefault="001425ED" w:rsidP="001425ED">
      <w:pPr>
        <w:shd w:val="clear" w:color="auto" w:fill="FFFFFF"/>
        <w:spacing w:before="120" w:after="120" w:line="240" w:lineRule="auto"/>
        <w:ind w:firstLine="480"/>
        <w:jc w:val="right"/>
        <w:rPr>
          <w:rFonts w:ascii="Times New Roman" w:eastAsia="Times New Roman" w:hAnsi="Times New Roman" w:cs="Times New Roman"/>
          <w:color w:val="222222"/>
          <w:lang w:eastAsia="fr-FR"/>
        </w:rPr>
      </w:pPr>
      <w:r w:rsidRPr="00190DE3"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>Doctrine de la vertu, KANT</w:t>
      </w:r>
      <w:r>
        <w:rPr>
          <w:rFonts w:ascii="Times New Roman" w:eastAsia="Times New Roman" w:hAnsi="Times New Roman" w:cs="Times New Roman"/>
          <w:b/>
          <w:bCs/>
          <w:color w:val="222222"/>
          <w:lang w:eastAsia="fr-FR"/>
        </w:rPr>
        <w:t xml:space="preserve"> 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Traduction</w:t>
      </w:r>
      <w:bookmarkStart w:id="0" w:name="_GoBack"/>
      <w:bookmarkEnd w:id="0"/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 </w:t>
      </w:r>
      <w:hyperlink r:id="rId5" w:tooltip="Auteur:Jules Barni" w:history="1">
        <w:r w:rsidRPr="005565EE">
          <w:rPr>
            <w:rFonts w:ascii="Times New Roman" w:eastAsia="Times New Roman" w:hAnsi="Times New Roman" w:cs="Times New Roman"/>
            <w:lang w:eastAsia="fr-FR"/>
          </w:rPr>
          <w:t>Jules Barni</w:t>
        </w:r>
      </w:hyperlink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.</w:t>
      </w:r>
      <w:r>
        <w:rPr>
          <w:rFonts w:ascii="Times New Roman" w:eastAsia="Times New Roman" w:hAnsi="Times New Roman" w:cs="Times New Roman"/>
          <w:color w:val="222222"/>
          <w:lang w:eastAsia="fr-FR"/>
        </w:rPr>
        <w:t xml:space="preserve"> </w:t>
      </w:r>
      <w:r w:rsidRPr="00190DE3">
        <w:rPr>
          <w:rFonts w:ascii="Times New Roman" w:eastAsia="Times New Roman" w:hAnsi="Times New Roman" w:cs="Times New Roman"/>
          <w:color w:val="222222"/>
          <w:lang w:eastAsia="fr-FR"/>
        </w:rPr>
        <w:t>Auguste Durand, 1855.</w:t>
      </w:r>
    </w:p>
    <w:sectPr w:rsidR="001F7876" w:rsidRPr="001425ED" w:rsidSect="0067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D"/>
    <w:rsid w:val="001425ED"/>
    <w:rsid w:val="001F7876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72EB"/>
  <w15:chartTrackingRefBased/>
  <w15:docId w15:val="{E468A130-FEDD-4E0B-B3BD-BDDD486C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5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source.org/wiki/Auteur:Jules_Barni" TargetMode="External"/><Relationship Id="rId4" Type="http://schemas.openxmlformats.org/officeDocument/2006/relationships/hyperlink" Target="https://fr.wikisource.org/wiki/Doctrine_de_la_vertu/Texte_ent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Gomes</dc:creator>
  <cp:keywords/>
  <dc:description/>
  <cp:lastModifiedBy>Marie Gomes</cp:lastModifiedBy>
  <cp:revision>2</cp:revision>
  <dcterms:created xsi:type="dcterms:W3CDTF">2019-10-02T15:04:00Z</dcterms:created>
  <dcterms:modified xsi:type="dcterms:W3CDTF">2019-10-05T05:45:00Z</dcterms:modified>
</cp:coreProperties>
</file>