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hdphoto1.wdp" ContentType="image/vnd.ms-photo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BDE8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Séquence 5 : les nombres décimaux (1). Séance 4.</w:t>
      </w:r>
    </w:p>
    <w:p>
      <w:pPr>
        <w:pStyle w:val="Normal"/>
        <w:shd w:val="clear" w:color="auto" w:fill="FBDE8A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Groupe de besoin « chercher 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 préambule, le professeur fait rappeler ce qui a été fait lors des séances précédentes avec les bandes de papier, les réglettes Cuisenaire et le guide-âne. Il reprend quelques exemples de nombres repérés, de nombres égaux, en montrant l’utilisation des différents matériels.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" w:eastAsiaTheme="minorEastAsia"/>
          <w:b/>
          <w:bCs/>
        </w:rPr>
      </w:pPr>
      <w:r>
        <w:rPr>
          <w:rFonts w:eastAsia="" w:eastAsiaTheme="minorEastAsia"/>
          <w:b/>
          <w:bCs/>
        </w:rPr>
        <w:t>Simulation numérique :</w:t>
      </w:r>
    </w:p>
    <w:p>
      <w:pPr>
        <w:pStyle w:val="Normal"/>
        <w:rPr/>
      </w:pPr>
      <w:r>
        <w:rPr/>
        <w:t>le professeur projette le fichier Geogebra qui permet de faire des zooms sur une demi-droite graduée et il montre ainsi une autre façon de visualiser la droite des nombres.</w:t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Exercice 1. Activités mentales.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u w:val="single"/>
        </w:rPr>
        <w:t>Consigne :</w:t>
      </w:r>
      <w:r>
        <w:rPr/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/>
        <w:t>Dans chaque cas, donne une autre écriture du nombre proposé.</w:t>
      </w:r>
    </w:p>
    <w:p>
      <w:pPr>
        <w:pStyle w:val="ListParagraph"/>
        <w:jc w:val="left"/>
        <w:rPr>
          <w:rFonts w:eastAsia="" w:eastAsiaTheme="minorEastAsia"/>
        </w:rPr>
      </w:pPr>
      <w:r>
        <w:rPr/>
      </w:r>
      <m:oMathPara xmlns:m="http://schemas.openxmlformats.org/officeDocument/2006/math">
        <m:oMathParaPr>
          <m:jc m:val="left"/>
        </m:oMathParaPr>
        <m:oMath>
          <m:r>
            <w:rPr>
              <w:rFonts w:ascii="Cambria Math" w:hAnsi="Cambria Math"/>
            </w:rPr>
            <m:t xml:space="preserve">11</m:t>
          </m:r>
          <m:r>
            <w:rPr>
              <w:rFonts w:ascii="Cambria Math" w:hAnsi="Cambria Math"/>
            </w:rPr>
            <m:t xml:space="preserve">+</m:t>
          </m:r>
          <m:f>
            <m:num>
              <m:r>
                <w:rPr>
                  <w:rFonts w:ascii="Cambria Math" w:hAnsi="Cambria Math"/>
                </w:rPr>
                <m:t xml:space="preserve">4</m:t>
              </m:r>
            </m:num>
            <m:den>
              <m:r>
                <w:rPr>
                  <w:rFonts w:ascii="Cambria Math" w:hAnsi="Cambria Math"/>
                </w:rPr>
                <m:t xml:space="preserve">100</m:t>
              </m:r>
            </m:den>
          </m:f>
          <m:r>
            <w:rPr>
              <w:rFonts w:ascii="Cambria Math" w:hAnsi="Cambria Math"/>
            </w:rPr>
            <m:t xml:space="preserve">;</m:t>
          </m:r>
          <m:f>
            <m:num>
              <m:r>
                <w:rPr>
                  <w:rFonts w:ascii="Cambria Math" w:hAnsi="Cambria Math"/>
                </w:rPr>
                <m:t xml:space="preserve">8</m:t>
              </m:r>
              <m:r>
                <w:rPr>
                  <w:rFonts w:ascii="Cambria Math" w:hAnsi="Cambria Math"/>
                </w:rPr>
                <m:t xml:space="preserve">30</m:t>
              </m:r>
            </m:num>
            <m:den>
              <m:r>
                <w:rPr>
                  <w:rFonts w:ascii="Cambria Math" w:hAnsi="Cambria Math"/>
                </w:rPr>
                <m:t xml:space="preserve">100</m:t>
              </m:r>
            </m:den>
          </m:f>
        </m:oMath>
      </m:oMathPara>
    </w:p>
    <w:p>
      <w:pPr>
        <w:pStyle w:val="ListParagraph"/>
        <w:numPr>
          <w:ilvl w:val="0"/>
          <w:numId w:val="1"/>
        </w:numPr>
        <w:rPr/>
      </w:pPr>
      <w:r>
        <w:rPr/>
        <w:t>Effectuer :</w:t>
      </w:r>
    </w:p>
    <w:p>
      <w:pPr>
        <w:pStyle w:val="ListParagraph"/>
        <w:jc w:val="left"/>
        <w:rPr/>
      </w:pPr>
      <w:r>
        <w:rPr/>
      </w:r>
      <m:oMathPara xmlns:m="http://schemas.openxmlformats.org/officeDocument/2006/math">
        <m:oMathParaPr>
          <m:jc m:val="left"/>
        </m:oMathParaPr>
        <m:oMath>
          <m:f>
            <m:num>
              <m:r>
                <w:rPr>
                  <w:rFonts w:ascii="Cambria Math" w:hAnsi="Cambria Math"/>
                </w:rPr>
                <m:t xml:space="preserve">1</m:t>
              </m:r>
            </m:num>
            <m:den>
              <m:r>
                <w:rPr>
                  <w:rFonts w:ascii="Cambria Math" w:hAnsi="Cambria Math"/>
                </w:rPr>
                <m:t xml:space="preserve">2</m:t>
              </m:r>
            </m:den>
          </m:f>
          <m:r>
            <w:rPr>
              <w:rFonts w:ascii="Cambria Math" w:hAnsi="Cambria Math"/>
            </w:rPr>
            <m:t xml:space="preserve">+</m:t>
          </m:r>
          <m:f>
            <m:num>
              <m:r>
                <w:rPr>
                  <w:rFonts w:ascii="Cambria Math" w:hAnsi="Cambria Math"/>
                </w:rPr>
                <m:t xml:space="preserve">1</m:t>
              </m:r>
            </m:num>
            <m:den>
              <m:r>
                <w:rPr>
                  <w:rFonts w:ascii="Cambria Math" w:hAnsi="Cambria Math"/>
                </w:rPr>
                <m:t xml:space="preserve">5</m:t>
              </m:r>
            </m:den>
          </m:f>
          <m:r>
            <w:rPr>
              <w:rFonts w:ascii="Cambria Math" w:hAnsi="Cambria Math"/>
            </w:rPr>
            <m:t xml:space="preserve">;</m:t>
          </m:r>
          <m:f>
            <m:num>
              <m:r>
                <w:rPr>
                  <w:rFonts w:ascii="Cambria Math" w:hAnsi="Cambria Math"/>
                </w:rPr>
                <m:t xml:space="preserve">20</m:t>
              </m:r>
            </m:num>
            <m:den>
              <m:r>
                <w:rPr>
                  <w:rFonts w:ascii="Cambria Math" w:hAnsi="Cambria Math"/>
                </w:rPr>
                <m:t xml:space="preserve">100</m:t>
              </m:r>
            </m:den>
          </m:f>
          <m:r>
            <w:rPr>
              <w:rFonts w:ascii="Cambria Math" w:hAnsi="Cambria Math"/>
            </w:rPr>
            <m:t xml:space="preserve">+</m:t>
          </m:r>
          <m:f>
            <m:num>
              <m:r>
                <w:rPr>
                  <w:rFonts w:ascii="Cambria Math" w:hAnsi="Cambria Math"/>
                </w:rPr>
                <m:t xml:space="preserve">77</m:t>
              </m:r>
            </m:num>
            <m:den>
              <m:r>
                <w:rPr>
                  <w:rFonts w:ascii="Cambria Math" w:hAnsi="Cambria Math"/>
                </w:rPr>
                <m:t xml:space="preserve">10</m:t>
              </m:r>
            </m:den>
          </m:f>
        </m:oMath>
      </m:oMathPara>
    </w:p>
    <w:p>
      <w:pPr>
        <w:pStyle w:val="Normal"/>
        <w:rPr/>
      </w:pPr>
      <w:r>
        <w:rPr/>
      </w:r>
    </w:p>
    <w:p>
      <w:pPr>
        <w:pStyle w:val="Normal"/>
        <w:rPr>
          <w:rFonts w:eastAsia="" w:eastAsiaTheme="minorEastAsia"/>
          <w:b/>
          <w:bCs/>
        </w:rPr>
      </w:pPr>
      <w:r>
        <w:rPr>
          <w:rFonts w:eastAsia="" w:eastAsiaTheme="minorEastAsia"/>
          <w:b/>
          <w:bCs/>
        </w:rPr>
        <w:t>Exercice 2 : représenter les millièmes. [Matériel à acheter en amont].</w:t>
      </w:r>
    </w:p>
    <w:p>
      <w:pPr>
        <w:pStyle w:val="Normal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rPr/>
      </w:pPr>
      <w:r>
        <w:rPr>
          <w:u w:val="single"/>
        </w:rPr>
        <w:t>Matériel :</w:t>
      </w:r>
      <w:r>
        <w:rPr/>
        <w:t xml:space="preserve"> chaque groupe de deux ou trois élèves reçoit un ensemble composé d’un cube-unité, de plaques d’un dixième de l’unité, de barrettes d’un centième de l’unité et de petits cubes d’un millième de l’unité, de couleurs différentes si possible.</w:t>
      </w:r>
    </w:p>
    <w:p>
      <w:pPr>
        <w:pStyle w:val="Normal"/>
        <w:rPr/>
      </w:pPr>
      <w:r>
        <w:rPr/>
        <w:t>Le matériel est donné sans explication par le professeur.</w:t>
      </w:r>
    </w:p>
    <w:p>
      <w:pPr>
        <w:pStyle w:val="Normal"/>
        <w:rPr/>
      </w:pPr>
      <w:r>
        <w:rPr>
          <w:u w:val="single"/>
        </w:rPr>
        <w:t>Modalité particulière :</w:t>
      </w:r>
      <w:r>
        <w:rPr/>
        <w:t xml:space="preserve"> lorsque le professeur n’a qu’un seul ensemble de matériel, il peut le montrer à la visionneuse en faisant intervenir des élèves à tour de rôle. L’exercice est mené pour tout le groupe ensemble.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 wp14:anchorId="56BFCC1A">
                <wp:extent cx="4942205" cy="2086610"/>
                <wp:effectExtent l="0" t="0" r="0" b="0"/>
                <wp:docPr id="1" name="Image 1" descr="Une image contenant Brique de construction, jouet, plastique&#10;&#10;Description générée automatiquement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 descr="Une image contenant Brique de construction, jouet, plastique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4942080" cy="2086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1" stroked="f" o:allowincell="f" style="position:absolute;margin-left:0pt;margin-top:-164.35pt;width:389.1pt;height:164.25pt;mso-wrap-style:none;v-text-anchor:middle;mso-position-vertical:top" wp14:anchorId="56BFCC1A" type="_x0000_t75">
                <v:imagedata r:id="rId4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Consigne 1 :</w:t>
      </w:r>
      <w:r>
        <w:rPr/>
        <w:t xml:space="preserve"> vous avez du matériel devant vous. Le plus grand cube est notre unité. Combien d’unité représente une plaque ? Une barrette ? Un petit cube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Consigne 2 :</w:t>
      </w:r>
      <w:r>
        <w:rPr/>
        <w:t xml:space="preserve"> combien de dixième vaut un centième ? Combien de centième vaut un millième ? Combien de dixième vaut un millième ?</w:t>
      </w:r>
    </w:p>
    <w:p>
      <w:pPr>
        <w:pStyle w:val="Normal"/>
        <w:rPr/>
      </w:pPr>
      <w:r>
        <w:rPr/>
        <w:t>Que valent dix millièmes ?</w:t>
      </w:r>
    </w:p>
    <w:p>
      <w:pPr>
        <w:pStyle w:val="Normal"/>
        <w:rPr/>
      </w:pPr>
      <w:r>
        <w:rPr/>
        <w:t>Que valent cent millièmes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Consigne 3 :</w:t>
      </w:r>
      <w:r>
        <w:rPr/>
        <w:t xml:space="preserve"> a) avec ce matériel, vous devez représenter seize millièmes d’unité. Quelles écritures différentes peut-on donner de ce nombre ?</w:t>
      </w:r>
    </w:p>
    <w:p>
      <w:pPr>
        <w:pStyle w:val="Normal"/>
        <w:rPr/>
      </w:pPr>
      <w:r>
        <w:rPr/>
        <w:t>b) Puis représentez quatre-vingt-deux millièmes d’unité. Quelles écritures différentes peut-on donner de ce nombre ?</w:t>
      </w:r>
    </w:p>
    <w:p>
      <w:pPr>
        <w:pStyle w:val="Normal"/>
        <w:rPr/>
      </w:pPr>
      <w:r>
        <w:rPr/>
        <w:t>c) Puis représentez cent-trente-et-un millièmes d’unité. Quelles écritures différentes peut-on donner de ce nombre ?</w:t>
      </w:r>
    </w:p>
    <w:p>
      <w:pPr>
        <w:pStyle w:val="Normal"/>
        <w:rPr/>
      </w:pPr>
      <w:r>
        <w:rPr/>
        <w:t>d) Puis représentez mille-deux-cent-trente-trois millièmes d’unité. Quelles écritures différentes peut-on donner de ce nombre ?</w:t>
      </w:r>
    </w:p>
    <w:p>
      <w:pPr>
        <w:pStyle w:val="Normal"/>
        <w:rPr/>
      </w:pPr>
      <w:r>
        <w:rPr/>
        <w:t>e) Puis représentez mille-quarante-cinq millièmes d’unité. Quelles écritures différentes peut-on donner de ce nombre ?</w:t>
      </w:r>
    </w:p>
    <w:p>
      <w:pPr>
        <w:pStyle w:val="Normal"/>
        <w:rPr/>
      </w:pPr>
      <w:r>
        <w:rPr/>
        <w:t xml:space="preserve">f) Puis représentez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1250</m:t>
            </m:r>
          </m:num>
          <m:den>
            <m:r>
              <w:rPr>
                <w:rFonts w:ascii="Cambria Math" w:hAnsi="Cambria Math"/>
              </w:rPr>
              <m:t xml:space="preserve">1000</m:t>
            </m:r>
          </m:den>
        </m:f>
      </m:oMath>
      <w:r>
        <w:rPr/>
        <w:t>d’unité. Quelles écritures différentes peut-on donner de ce nombre ?</w:t>
      </w:r>
    </w:p>
    <w:p>
      <w:pPr>
        <w:pStyle w:val="Normal"/>
        <w:rPr/>
      </w:pPr>
      <w:r>
        <w:rPr/>
        <w:t xml:space="preserve">g) Puis représentez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3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</m:oMath>
      <w:r>
        <w:rPr/>
        <w:t xml:space="preserve">  d’unité. Quelles écritures différentes peut-on donner de ce nombre ?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Calibri" w:hAnsi="Calibri" w:eastAsia="Calibri" w:cs="Times New Roman"/>
          <w:b/>
          <w:bCs/>
          <w:color w:themeColor="text1" w:val="000000"/>
        </w:rPr>
      </w:pPr>
      <w:r>
        <w:rPr>
          <w:rFonts w:eastAsia="Calibri" w:cs="Times New Roman" w:ascii="Calibri" w:hAnsi="Calibri"/>
          <w:b/>
          <w:bCs/>
          <w:color w:themeColor="text1" w:val="000000"/>
        </w:rPr>
        <w:t>Trace écrite de leçon : exemple de partie de leçon qui peut être commune à tous les groupes dans le fichier 15-Trace</w:t>
      </w:r>
      <w:r>
        <w:rPr>
          <w:rFonts w:eastAsia="Calibri" w:cs="Times New Roman" w:ascii="Calibri" w:hAnsi="Calibri"/>
          <w:b/>
          <w:bCs/>
          <w:color w:themeColor="text1" w:val="000000"/>
        </w:rPr>
        <w:t>_</w:t>
      </w:r>
      <w:r>
        <w:rPr>
          <w:rFonts w:eastAsia="Calibri" w:cs="Times New Roman" w:ascii="Calibri" w:hAnsi="Calibri"/>
          <w:b/>
          <w:bCs/>
          <w:color w:themeColor="text1" w:val="000000"/>
        </w:rPr>
        <w:t>écrite</w:t>
      </w:r>
      <w:r>
        <w:rPr>
          <w:rFonts w:eastAsia="Calibri" w:cs="Times New Roman" w:ascii="Calibri" w:hAnsi="Calibri"/>
          <w:b/>
          <w:bCs/>
          <w:color w:themeColor="text1" w:val="000000"/>
        </w:rPr>
        <w:t>_de_cours_</w:t>
      </w:r>
      <w:r>
        <w:rPr>
          <w:rFonts w:eastAsia="Calibri" w:cs="Times New Roman" w:ascii="Calibri" w:hAnsi="Calibri"/>
          <w:b/>
          <w:bCs/>
          <w:color w:themeColor="text1" w:val="000000"/>
        </w:rPr>
        <w:t>commune.pdf. A donner, exceptionnellement, photocopiée et à coller car elle contient beaucoup d’illustrations du matériel.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Exercice 3. Repérage.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-307975</wp:posOffset>
            </wp:positionH>
            <wp:positionV relativeFrom="margin">
              <wp:posOffset>5407025</wp:posOffset>
            </wp:positionV>
            <wp:extent cx="6327775" cy="3413125"/>
            <wp:effectExtent l="0" t="0" r="0" b="0"/>
            <wp:wrapSquare wrapText="bothSides"/>
            <wp:docPr id="3" name="Image 1" descr="Une image contenant ligne, Tracé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Une image contenant ligne, Tracé,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Consigne : Écrire, en-dessous de la demi-droite graduée, les abscisses des points A, B, C et D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e81b8d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e81b8d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e81b8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e81b8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e81b8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e81b8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e81b8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e81b8d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e81b8d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e81b8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e81b8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e81b8d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e81b8d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e81b8d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e81b8d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e81b8d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e81b8d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e81b8d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e81b8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e81b8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e81b8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81b8d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e81b8d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e81b8d"/>
    <w:rPr>
      <w:b/>
      <w:bCs/>
      <w:smallCaps/>
      <w:color w:themeColor="accent1" w:themeShade="bf" w:val="0F4761"/>
      <w:spacing w:val="5"/>
    </w:rPr>
  </w:style>
  <w:style w:type="character" w:styleId="PlaceholderText">
    <w:name w:val="Placeholder Text"/>
    <w:basedOn w:val="DefaultParagraphFont"/>
    <w:uiPriority w:val="99"/>
    <w:semiHidden/>
    <w:qFormat/>
    <w:rsid w:val="00700ebf"/>
    <w:rPr>
      <w:color w:val="66666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reCar"/>
    <w:uiPriority w:val="10"/>
    <w:qFormat/>
    <w:rsid w:val="00e81b8d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e81b8d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e81b8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81b8d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e81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hanging="0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microsoft.com/office/2007/relationships/hdphoto" Target="media/hdphoto1.wdp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Collabora_Office/23.05.10.1$Linux_X86_64 LibreOffice_project/c8fa7c01aa8a3e263c07b5cf4f72ace70f1d9308</Application>
  <AppVersion>15.0000</AppVersion>
  <Pages>3</Pages>
  <Words>432</Words>
  <Characters>2350</Characters>
  <CharactersWithSpaces>2757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2024-05-01T13:00:00Z</dcterms:created>
  <dc:creator>Quitterie Marty</dc:creator>
  <dc:description/>
  <dc:language>fr-FR</dc:language>
  <cp:lastModifiedBy/>
  <dcterms:modified xsi:type="dcterms:W3CDTF">2024-05-09T15:10:22Z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