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hdphoto1.wdp" ContentType="image/vnd.ms-photo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2CEED" w:themeFill="accent5" w:themeFillTint="3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Séquence 5 : les nombres décimaux (1). Séance 2.</w:t>
      </w:r>
    </w:p>
    <w:p>
      <w:pPr>
        <w:pStyle w:val="Normal"/>
        <w:shd w:val="clear" w:color="auto" w:fill="F2CEED" w:themeFill="accent5" w:themeFillTint="33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Groupe de besoin « raisonner »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En préambule, le professeur fait rappeler ce qui a été fait lors de la séance précédente. Il reprend quelques exemples de nombres repérés, de nombres égaux, en nommant le matériel utilisé.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Cs/>
        </w:rPr>
      </w:pPr>
      <w:r>
        <w:rPr>
          <w:b/>
          <w:bCs/>
        </w:rPr>
        <w:t>Exercice 1. Suite de l’exercice 2 de la séance 1.</w:t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jc w:val="both"/>
        <w:rPr/>
      </w:pPr>
      <w:r>
        <w:rPr/>
        <w:t>Le professeur dessine au tableau les représentations des deux quadrilatères et les annote avec les mesures. Il demande à des élèves (un pour chaque quadrilatère) de rappeler les étapes de calcul utilisées.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Consigne : répondez à la question de cet exercice de la séance précédente, c’est-à-dire que vous devez comparer les périmètres.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  <w:bCs/>
        </w:rPr>
      </w:pPr>
      <w:r>
        <w:rPr>
          <w:b/>
          <w:bCs/>
        </w:rPr>
        <w:t>Exercice 2. Calculer un périmètre (utilisation des dixièmes). Travail individuel.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Matériel</w:t>
      </w:r>
      <w:r>
        <w:rPr/>
        <w:t> : chaque élève reçoit une fiche où un quadrilatère quelconque est représenté en vraie grandeur, en fonction d’une bande de papier unité qui est fournie. La bande-unité est partagée en dix parts égales. Les mesures des côtés sont indiquées, chacune sous la forme d’une fraction dont le dénominateur est 2, 5 ou 10.</w:t>
      </w:r>
    </w:p>
    <w:p>
      <w:pPr>
        <w:pStyle w:val="Normal"/>
        <w:jc w:val="both"/>
        <w:rPr/>
      </w:pPr>
      <w:r>
        <w:rPr/>
        <w:t>Les bandes-unités partagées en 2 parts égales et en 5 parts égales sont fournies à la demande.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Consigne 1</w:t>
      </w:r>
      <w:r>
        <w:rPr/>
        <w:t> : vous devez calculer le périmètre de ce quadrilatère. Vos calculs doivent être détaillés.</w:t>
      </w:r>
    </w:p>
    <w:p>
      <w:pPr>
        <w:pStyle w:val="Normal"/>
        <w:jc w:val="both"/>
        <w:rPr/>
      </w:pPr>
      <w:r>
        <w:rPr/>
        <w:t>Vous pouvez utiliser les résultats de l’exercice 1 du cours précédent (affiches).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Certains élèves vont remesurer les côtés avec la bande-unité pour exprimer autrement les mesures données, d’autres utiliseront les résultats de l’exercice 1 de la séance précédente (écrits sur des affiches).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Consigne 2</w:t>
      </w:r>
      <w:r>
        <w:rPr/>
        <w:t> : quelles que soient les mesures des côtés du polygone que l’on vous donne, indiquées sous forme de fractions, dire en quelques étapes la procédure de calcul de son périmètre.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Certains élèves reprendront un exemple, d’autres auront des formulations (éventuellement maladroites) d’une méthode générale d’addition de fractions avec des dixièmes.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Calibri" w:hAnsi="Calibri" w:eastAsia="Calibri" w:cs="Times New Roman"/>
          <w:color w:themeColor="text1" w:val="000000"/>
        </w:rPr>
      </w:pPr>
      <w:r>
        <w:rPr>
          <w:rFonts w:eastAsia="Calibri" w:cs="Times New Roman" w:ascii="Calibri" w:hAnsi="Calibri"/>
          <w:color w:themeColor="text1" w:val="000000"/>
        </w:rPr>
        <w:t xml:space="preserve">Le professeur rappelle que les nombres qui ont servi à mesurer sont appelés nombres décimaux, que les entiers font partie des décimaux, et que tous les décimaux sont énoncés et s’écrivent en base 10. </w:t>
      </w:r>
    </w:p>
    <w:p>
      <w:pPr>
        <w:pStyle w:val="Normal"/>
        <w:jc w:val="both"/>
        <w:rPr>
          <w:rFonts w:ascii="Calibri" w:hAnsi="Calibri" w:eastAsia="Calibri" w:cs="Times New Roman"/>
          <w:color w:themeColor="text1" w:val="000000"/>
        </w:rPr>
      </w:pPr>
      <w:r>
        <w:rPr>
          <w:rFonts w:eastAsia="Calibri" w:cs="Times New Roman" w:ascii="Calibri" w:hAnsi="Calibri"/>
          <w:color w:themeColor="text1" w:val="000000"/>
        </w:rPr>
        <w:t>Il pourra aussi rappeler que la longueur du contour d’une figure s’appelle son périmètre et fera constater qu’il n’est pas facile de prévoir celle des deux figures qui a le plus grand périmètre. Il ne s’agit pas d’insister sur cette notion car l’objectif n’est pas de parler de grandeur et de mesure mais de nombres.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>
          <w:b/>
          <w:bCs/>
        </w:rPr>
        <w:t>Trace écrite particulière</w:t>
      </w:r>
      <w:r>
        <w:rPr/>
        <w:t xml:space="preserve"> : </w:t>
      </w:r>
      <w:r>
        <w:rPr>
          <w:b/>
          <w:bCs/>
        </w:rPr>
        <w:t xml:space="preserve">création d’affiches pour la salle de classe (et éventuellement partage avec les autres groupes pour montrer les objectifs communs).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49900" cy="784860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eastAsia="" w:eastAsiaTheme="minorEastAsia"/>
          <w:b/>
          <w:bCs/>
        </w:rPr>
      </w:pPr>
      <w:r>
        <w:rPr>
          <w:rFonts w:eastAsia="" w:eastAsiaTheme="minorEastAsia"/>
          <w:b/>
          <w:bCs/>
        </w:rPr>
        <w:t>Exercice 3 : représenter les centièmes et les millièmes.</w:t>
      </w:r>
    </w:p>
    <w:p>
      <w:pPr>
        <w:pStyle w:val="Normal"/>
        <w:rPr>
          <w:rFonts w:eastAsia="" w:eastAsiaTheme="minorEastAsia"/>
        </w:rPr>
      </w:pPr>
      <w:r>
        <w:rPr>
          <w:rFonts w:eastAsia="" w:eastAsiaTheme="minorEastAsia"/>
        </w:rPr>
      </w:r>
    </w:p>
    <w:p>
      <w:pPr>
        <w:pStyle w:val="Normal"/>
        <w:rPr/>
      </w:pPr>
      <w:r>
        <w:rPr>
          <w:u w:val="single"/>
        </w:rPr>
        <w:t>Matériel :</w:t>
      </w:r>
      <w:r>
        <w:rPr/>
        <w:t xml:space="preserve"> chaque groupe de deux ou trois élèves reçoit un ensemble composé d’un cube-unité, de plaques d’un dixième de l’unité, de barrettes d’un centième de l’unité et de petits cubes d’un millième de l’unité, de couleurs différentes si possible.</w:t>
      </w:r>
    </w:p>
    <w:p>
      <w:pPr>
        <w:pStyle w:val="Normal"/>
        <w:rPr/>
      </w:pPr>
      <w:r>
        <w:rPr/>
        <w:t>Le matériel est donné sans explication par le professeur.</w:t>
      </w:r>
    </w:p>
    <w:p>
      <w:pPr>
        <w:pStyle w:val="Normal"/>
        <w:rPr/>
      </w:pPr>
      <w:r>
        <w:rPr>
          <w:u w:val="single"/>
        </w:rPr>
        <w:t>Modalité particulière :</w:t>
      </w:r>
      <w:r>
        <w:rPr/>
        <mc:AlternateContent>
          <mc:Choice Requires="wps">
            <w:drawing>
              <wp:anchor behindDoc="0" distT="0" distB="0" distL="114300" distR="114300" simplePos="0" locked="0" layoutInCell="0" allowOverlap="1" relativeHeight="2" wp14:anchorId="492ED8C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572000" cy="1930400"/>
                <wp:effectExtent l="0" t="0" r="0" b="0"/>
                <wp:wrapSquare wrapText="bothSides"/>
                <wp:docPr id="2" name="Image 1" descr="Une image contenant Brique de construction, jouet, plastique&#10;&#10;Description générée automatiquement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1" descr="Une image contenant Brique de construction, jouet, plastique&#10;&#10;Description générée automatiquement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4572000" cy="1930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" stroked="f" o:allowincell="f" style="position:absolute;margin-left:46.8pt;margin-top:274.1pt;width:359.95pt;height:151.95pt;mso-wrap-style:none;v-text-anchor:middle;mso-position-horizontal:center;mso-position-horizontal-relative:margin;mso-position-vertical:center;mso-position-vertical-relative:margin" wp14:anchorId="492ED8CD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w:t xml:space="preserve"> lorsque le professeur n’a qu’un seul ensemble de matériel, il peut le montrer à la visionneuse en faisant intervenir des élèves à tour de rôle. L’exercice est mené pour tout le groupe ensemble.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>
          <w:u w:val="single"/>
        </w:rPr>
        <w:t>Consigne 1 :</w:t>
      </w:r>
      <w:r>
        <w:rPr/>
        <w:t xml:space="preserve"> vous avez du matériel devant vous. Le plus grand cube est notre unité. Combien d’unité représente une plaque ? Une barrette ? Un petit cube 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u w:val="single"/>
        </w:rPr>
        <w:t>Consigne 2 :</w:t>
      </w:r>
      <w:r>
        <w:rPr/>
        <w:t xml:space="preserve"> combien de dixième vaut un centième ? Combien de centième vaut un millième ? Combien de dixième vaut un millième ?</w:t>
      </w:r>
    </w:p>
    <w:p>
      <w:pPr>
        <w:pStyle w:val="Normal"/>
        <w:rPr/>
      </w:pPr>
      <w:r>
        <w:rPr/>
        <w:t>Que valent dix millièmes ?</w:t>
      </w:r>
    </w:p>
    <w:p>
      <w:pPr>
        <w:pStyle w:val="Normal"/>
        <w:rPr/>
      </w:pPr>
      <w:r>
        <w:rPr/>
        <w:t>Que valent cent millièmes ?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u w:val="single"/>
        </w:rPr>
        <w:t>Consigne 3 :</w:t>
      </w:r>
      <w:r>
        <w:rPr/>
        <w:t xml:space="preserve"> a) avec ce matériel, vous devez représenter seize millièmes d’unité. Quelles écritures différentes peut-on donner de ce nombre ?</w:t>
      </w:r>
    </w:p>
    <w:p>
      <w:pPr>
        <w:pStyle w:val="Normal"/>
        <w:rPr/>
      </w:pPr>
      <w:r>
        <w:rPr/>
        <w:t>b) Puis représentez quatre-vingt-deux millièmes d’unité. Quelles écritures différentes peut-on donner de ce nombre ?</w:t>
      </w:r>
    </w:p>
    <w:p>
      <w:pPr>
        <w:pStyle w:val="Normal"/>
        <w:rPr/>
      </w:pPr>
      <w:r>
        <w:rPr/>
        <w:t>c) Puis représentez cent-trente-et-un millièmes d’unité. Quelles écritures différentes peut-on donner de ce nombre ?</w:t>
      </w:r>
    </w:p>
    <w:p>
      <w:pPr>
        <w:pStyle w:val="Normal"/>
        <w:rPr/>
      </w:pPr>
      <w:r>
        <w:rPr/>
        <w:t>d) Puis représentez mille-deux-cent-trente-trois millièmes d’unité. Quelles écritures différentes peut-on donner de ce nombre ?</w:t>
      </w:r>
    </w:p>
    <w:p>
      <w:pPr>
        <w:pStyle w:val="Normal"/>
        <w:rPr/>
      </w:pPr>
      <w:r>
        <w:rPr/>
        <w:t>e) Puis représentez mille-quarante-cinq millièmes d’unité. Quelles écritures différentes peut-on donner de ce nombre ?</w:t>
      </w:r>
    </w:p>
    <w:p>
      <w:pPr>
        <w:pStyle w:val="Normal"/>
        <w:rPr/>
      </w:pPr>
      <w:r>
        <w:rPr/>
        <w:t xml:space="preserve">f) Puis représentez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1250</m:t>
            </m:r>
          </m:num>
          <m:den>
            <m:r>
              <w:rPr>
                <w:rFonts w:ascii="Cambria Math" w:hAnsi="Cambria Math"/>
              </w:rPr>
              <m:t xml:space="preserve">1000</m:t>
            </m:r>
          </m:den>
        </m:f>
      </m:oMath>
      <w:r>
        <w:rPr/>
        <w:t>d’unité. Quelles écritures différentes peut-on donner de ce nombre ?</w:t>
      </w:r>
    </w:p>
    <w:p>
      <w:pPr>
        <w:pStyle w:val="Normal"/>
        <w:rPr/>
      </w:pPr>
      <w:r>
        <w:rPr/>
        <w:t xml:space="preserve">g) Puis représentez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 xml:space="preserve">  d’unité. Quelles écritures différentes peut-on donner de ce nombre ?</w:t>
      </w:r>
    </w:p>
    <w:p>
      <w:pPr>
        <w:pStyle w:val="Normal"/>
        <w:jc w:val="both"/>
        <w:rPr/>
      </w:pPr>
      <w:r>
        <w:rPr/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rlito">
    <w:altName w:val="Calibri"/>
    <w:charset w:val="01"/>
    <w:family w:val="roman"/>
    <w:pitch w:val="variable"/>
  </w:font>
  <w:font w:name="Aptos">
    <w:charset w:val="01"/>
    <w:family w:val="roman"/>
    <w:pitch w:val="variable"/>
  </w:font>
  <w:font w:name="Aptos Display">
    <w:charset w:val="01"/>
    <w:family w:val="roman"/>
    <w:pitch w:val="variable"/>
  </w:font>
  <w:font w:name="Calibri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fr-FR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itre1Car"/>
    <w:uiPriority w:val="9"/>
    <w:qFormat/>
    <w:rsid w:val="00e81b8d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itre2Car"/>
    <w:uiPriority w:val="9"/>
    <w:semiHidden/>
    <w:unhideWhenUsed/>
    <w:qFormat/>
    <w:rsid w:val="00e81b8d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itre3Car"/>
    <w:uiPriority w:val="9"/>
    <w:semiHidden/>
    <w:unhideWhenUsed/>
    <w:qFormat/>
    <w:rsid w:val="00e81b8d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itre4Car"/>
    <w:uiPriority w:val="9"/>
    <w:semiHidden/>
    <w:unhideWhenUsed/>
    <w:qFormat/>
    <w:rsid w:val="00e81b8d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itre5Car"/>
    <w:uiPriority w:val="9"/>
    <w:semiHidden/>
    <w:unhideWhenUsed/>
    <w:qFormat/>
    <w:rsid w:val="00e81b8d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Titre6Car"/>
    <w:uiPriority w:val="9"/>
    <w:semiHidden/>
    <w:unhideWhenUsed/>
    <w:qFormat/>
    <w:rsid w:val="00e81b8d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Titre7Car"/>
    <w:uiPriority w:val="9"/>
    <w:semiHidden/>
    <w:unhideWhenUsed/>
    <w:qFormat/>
    <w:rsid w:val="00e81b8d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Titre8Car"/>
    <w:uiPriority w:val="9"/>
    <w:semiHidden/>
    <w:unhideWhenUsed/>
    <w:qFormat/>
    <w:rsid w:val="00e81b8d"/>
    <w:pPr>
      <w:keepNext w:val="true"/>
      <w:keepLines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Titre9Car"/>
    <w:uiPriority w:val="9"/>
    <w:semiHidden/>
    <w:unhideWhenUsed/>
    <w:qFormat/>
    <w:rsid w:val="00e81b8d"/>
    <w:pPr>
      <w:keepNext w:val="true"/>
      <w:keepLines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uiPriority w:val="9"/>
    <w:qFormat/>
    <w:rsid w:val="00e81b8d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Titre2Car" w:customStyle="1">
    <w:name w:val="Titre 2 Car"/>
    <w:basedOn w:val="DefaultParagraphFont"/>
    <w:uiPriority w:val="9"/>
    <w:semiHidden/>
    <w:qFormat/>
    <w:rsid w:val="00e81b8d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Titre3Car" w:customStyle="1">
    <w:name w:val="Titre 3 Car"/>
    <w:basedOn w:val="DefaultParagraphFont"/>
    <w:uiPriority w:val="9"/>
    <w:semiHidden/>
    <w:qFormat/>
    <w:rsid w:val="00e81b8d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Titre4Car" w:customStyle="1">
    <w:name w:val="Titre 4 Car"/>
    <w:basedOn w:val="DefaultParagraphFont"/>
    <w:uiPriority w:val="9"/>
    <w:semiHidden/>
    <w:qFormat/>
    <w:rsid w:val="00e81b8d"/>
    <w:rPr>
      <w:rFonts w:eastAsia="" w:cs="" w:cstheme="majorBidi" w:eastAsiaTheme="majorEastAsia"/>
      <w:i/>
      <w:iCs/>
      <w:color w:themeColor="accent1" w:themeShade="bf" w:val="0F4761"/>
    </w:rPr>
  </w:style>
  <w:style w:type="character" w:styleId="Titre5Car" w:customStyle="1">
    <w:name w:val="Titre 5 Car"/>
    <w:basedOn w:val="DefaultParagraphFont"/>
    <w:uiPriority w:val="9"/>
    <w:semiHidden/>
    <w:qFormat/>
    <w:rsid w:val="00e81b8d"/>
    <w:rPr>
      <w:rFonts w:eastAsia="" w:cs="" w:cstheme="majorBidi" w:eastAsiaTheme="majorEastAsia"/>
      <w:color w:themeColor="accent1" w:themeShade="bf" w:val="0F4761"/>
    </w:rPr>
  </w:style>
  <w:style w:type="character" w:styleId="Titre6Car" w:customStyle="1">
    <w:name w:val="Titre 6 Car"/>
    <w:basedOn w:val="DefaultParagraphFont"/>
    <w:uiPriority w:val="9"/>
    <w:semiHidden/>
    <w:qFormat/>
    <w:rsid w:val="00e81b8d"/>
    <w:rPr>
      <w:rFonts w:eastAsia="" w:cs="" w:cstheme="majorBidi" w:eastAsiaTheme="majorEastAsia"/>
      <w:i/>
      <w:iCs/>
      <w:color w:themeColor="text1" w:themeTint="a6" w:val="595959"/>
    </w:rPr>
  </w:style>
  <w:style w:type="character" w:styleId="Titre7Car" w:customStyle="1">
    <w:name w:val="Titre 7 Car"/>
    <w:basedOn w:val="DefaultParagraphFont"/>
    <w:uiPriority w:val="9"/>
    <w:semiHidden/>
    <w:qFormat/>
    <w:rsid w:val="00e81b8d"/>
    <w:rPr>
      <w:rFonts w:eastAsia="" w:cs="" w:cstheme="majorBidi" w:eastAsiaTheme="majorEastAsia"/>
      <w:color w:themeColor="text1" w:themeTint="a6" w:val="595959"/>
    </w:rPr>
  </w:style>
  <w:style w:type="character" w:styleId="Titre8Car" w:customStyle="1">
    <w:name w:val="Titre 8 Car"/>
    <w:basedOn w:val="DefaultParagraphFont"/>
    <w:uiPriority w:val="9"/>
    <w:semiHidden/>
    <w:qFormat/>
    <w:rsid w:val="00e81b8d"/>
    <w:rPr>
      <w:rFonts w:eastAsia="" w:cs="" w:cstheme="majorBidi" w:eastAsiaTheme="majorEastAsia"/>
      <w:i/>
      <w:iCs/>
      <w:color w:themeColor="text1" w:themeTint="d8" w:val="272727"/>
    </w:rPr>
  </w:style>
  <w:style w:type="character" w:styleId="Titre9Car" w:customStyle="1">
    <w:name w:val="Titre 9 Car"/>
    <w:basedOn w:val="DefaultParagraphFont"/>
    <w:uiPriority w:val="9"/>
    <w:semiHidden/>
    <w:qFormat/>
    <w:rsid w:val="00e81b8d"/>
    <w:rPr>
      <w:rFonts w:eastAsia="" w:cs="" w:cstheme="majorBidi" w:eastAsiaTheme="majorEastAsia"/>
      <w:color w:themeColor="text1" w:themeTint="d8" w:val="272727"/>
    </w:rPr>
  </w:style>
  <w:style w:type="character" w:styleId="TitreCar" w:customStyle="1">
    <w:name w:val="Titre Car"/>
    <w:basedOn w:val="DefaultParagraphFont"/>
    <w:uiPriority w:val="10"/>
    <w:qFormat/>
    <w:rsid w:val="00e81b8d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ous-titreCar" w:customStyle="1">
    <w:name w:val="Sous-titre Car"/>
    <w:basedOn w:val="DefaultParagraphFont"/>
    <w:uiPriority w:val="11"/>
    <w:qFormat/>
    <w:rsid w:val="00e81b8d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itationCar" w:customStyle="1">
    <w:name w:val="Citation Car"/>
    <w:basedOn w:val="DefaultParagraphFont"/>
    <w:link w:val="Quote"/>
    <w:uiPriority w:val="29"/>
    <w:qFormat/>
    <w:rsid w:val="00e81b8d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e81b8d"/>
    <w:rPr>
      <w:i/>
      <w:iCs/>
      <w:color w:themeColor="accent1" w:themeShade="bf" w:val="0F4761"/>
    </w:rPr>
  </w:style>
  <w:style w:type="character" w:styleId="CitationintenseCar" w:customStyle="1">
    <w:name w:val="Citation intense Car"/>
    <w:basedOn w:val="DefaultParagraphFont"/>
    <w:link w:val="IntenseQuote"/>
    <w:uiPriority w:val="30"/>
    <w:qFormat/>
    <w:rsid w:val="00e81b8d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e81b8d"/>
    <w:rPr>
      <w:b/>
      <w:bCs/>
      <w:smallCaps/>
      <w:color w:themeColor="accent1" w:themeShade="bf" w:val="0F4761"/>
      <w:spacing w:val="5"/>
    </w:rPr>
  </w:style>
  <w:style w:type="character" w:styleId="PlaceholderText">
    <w:name w:val="Placeholder Text"/>
    <w:basedOn w:val="DefaultParagraphFont"/>
    <w:uiPriority w:val="99"/>
    <w:semiHidden/>
    <w:qFormat/>
    <w:rsid w:val="00700ebf"/>
    <w:rPr>
      <w:color w:val="666666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Carlito" w:hAnsi="Carlito" w:eastAsia="Noto Sans SC Regular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next w:val="Normal"/>
    <w:link w:val="TitreCar"/>
    <w:uiPriority w:val="10"/>
    <w:qFormat/>
    <w:rsid w:val="00e81b8d"/>
    <w:pPr>
      <w:spacing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ous-titreCar"/>
    <w:uiPriority w:val="11"/>
    <w:qFormat/>
    <w:rsid w:val="00e81b8d"/>
    <w:pPr>
      <w:spacing w:before="0" w:after="160"/>
    </w:pPr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tionCar"/>
    <w:uiPriority w:val="29"/>
    <w:qFormat/>
    <w:rsid w:val="00e81b8d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e81b8d"/>
    <w:pPr>
      <w:spacing w:before="0" w:after="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itationintenseCar"/>
    <w:uiPriority w:val="30"/>
    <w:qFormat/>
    <w:rsid w:val="00e81b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 w:hanging="0"/>
      <w:jc w:val="center"/>
    </w:pPr>
    <w:rPr>
      <w:i/>
      <w:iCs/>
      <w:color w:themeColor="accent1" w:themeShade="bf" w:val="0F476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microsoft.com/office/2007/relationships/hdphoto" Target="media/hdphoto1.wdp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Collabora_Office/23.05.10.1$Linux_X86_64 LibreOffice_project/c8fa7c01aa8a3e263c07b5cf4f72ace70f1d9308</Application>
  <AppVersion>15.0000</AppVersion>
  <Pages>4</Pages>
  <Words>676</Words>
  <Characters>3622</Characters>
  <CharactersWithSpaces>4270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2024-05-01T12:22:00Z</dcterms:created>
  <dc:creator>Quitterie Marty</dc:creator>
  <dc:description/>
  <dc:language>fr-FR</dc:language>
  <cp:lastModifiedBy/>
  <dcterms:modified xsi:type="dcterms:W3CDTF">2024-05-09T11:29:46Z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