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A94" w:rsidRPr="00B955FB" w:rsidRDefault="00525A94">
      <w:pPr>
        <w:rPr>
          <w:rStyle w:val="notranslate"/>
          <w:rFonts w:ascii="Algerian" w:hAnsi="Algerian"/>
          <w:sz w:val="36"/>
          <w:szCs w:val="36"/>
        </w:rPr>
      </w:pPr>
      <w:r w:rsidRPr="00B955FB">
        <w:rPr>
          <w:rStyle w:val="notranslate"/>
          <w:rFonts w:ascii="Algerian" w:hAnsi="Algerian"/>
          <w:sz w:val="36"/>
          <w:szCs w:val="36"/>
        </w:rPr>
        <w:t>Racine de 2, toute une histoire !</w:t>
      </w:r>
    </w:p>
    <w:p w:rsidR="00525A94" w:rsidRDefault="00525A94">
      <w:pPr>
        <w:rPr>
          <w:rStyle w:val="notranslate"/>
        </w:rPr>
      </w:pPr>
    </w:p>
    <w:p w:rsidR="0033080F" w:rsidRDefault="0033080F">
      <w:pPr>
        <w:rPr>
          <w:rStyle w:val="notranslate"/>
        </w:rPr>
      </w:pPr>
    </w:p>
    <w:p w:rsidR="0033080F" w:rsidRPr="0033080F" w:rsidRDefault="0033080F">
      <w:pPr>
        <w:rPr>
          <w:rStyle w:val="notranslate"/>
          <w:b/>
          <w:u w:val="single"/>
        </w:rPr>
      </w:pPr>
      <w:r w:rsidRPr="0033080F">
        <w:rPr>
          <w:rStyle w:val="notranslate"/>
          <w:b/>
          <w:u w:val="single"/>
        </w:rPr>
        <w:t xml:space="preserve">ACTIVITÉ 1 : Calculs approchées de </w:t>
      </w:r>
      <m:oMath>
        <m:rad>
          <m:radPr>
            <m:degHide m:val="1"/>
            <m:ctrlPr>
              <w:rPr>
                <w:rStyle w:val="notranslate"/>
                <w:rFonts w:ascii="Cambria Math" w:hAnsi="Cambria Math"/>
                <w:b/>
                <w:i/>
                <w:u w:val="single"/>
              </w:rPr>
            </m:ctrlPr>
          </m:radPr>
          <m:deg/>
          <m:e>
            <m:r>
              <m:rPr>
                <m:sty m:val="bi"/>
              </m:rPr>
              <w:rPr>
                <w:rStyle w:val="notranslate"/>
                <w:rFonts w:ascii="Cambria Math" w:hAnsi="Cambria Math"/>
                <w:u w:val="single"/>
              </w:rPr>
              <m:t>2</m:t>
            </m:r>
          </m:e>
        </m:rad>
      </m:oMath>
      <w:r w:rsidRPr="0033080F">
        <w:rPr>
          <w:rStyle w:val="notranslate"/>
          <w:rFonts w:eastAsiaTheme="minorEastAsia"/>
          <w:b/>
          <w:u w:val="single"/>
        </w:rPr>
        <w:t>.</w:t>
      </w:r>
    </w:p>
    <w:p w:rsidR="00AF7EFC" w:rsidRDefault="00525A94">
      <w:pPr>
        <w:rPr>
          <w:rStyle w:val="notranslate"/>
        </w:rPr>
      </w:pPr>
      <w:r>
        <w:rPr>
          <w:rStyle w:val="notranslate"/>
        </w:rPr>
        <w:t xml:space="preserve">La tablette </w:t>
      </w:r>
      <w:r w:rsidRPr="00477F5F">
        <w:rPr>
          <w:rStyle w:val="notranslate"/>
          <w:b/>
        </w:rPr>
        <w:t>YBC 7289</w:t>
      </w:r>
      <w:r>
        <w:rPr>
          <w:rStyle w:val="notranslate"/>
        </w:rPr>
        <w:t xml:space="preserve"> (Tablette de la collection Babylonienne de l’université de Yale</w:t>
      </w:r>
      <w:r w:rsidR="00894FAE">
        <w:rPr>
          <w:rStyle w:val="notranslate"/>
        </w:rPr>
        <w:t xml:space="preserve"> </w:t>
      </w:r>
      <w:r>
        <w:rPr>
          <w:rStyle w:val="notranslate"/>
        </w:rPr>
        <w:t>(New Haven – Connecticut – Etats Unis</w:t>
      </w:r>
      <w:r w:rsidR="00894FAE">
        <w:rPr>
          <w:rStyle w:val="notranslate"/>
        </w:rPr>
        <w:t>)) est</w:t>
      </w:r>
      <w:r>
        <w:rPr>
          <w:rStyle w:val="notranslate"/>
        </w:rPr>
        <w:t xml:space="preserve"> l’une des plus vie</w:t>
      </w:r>
      <w:r w:rsidR="005C6972">
        <w:rPr>
          <w:rStyle w:val="notranslate"/>
        </w:rPr>
        <w:t>i</w:t>
      </w:r>
      <w:r>
        <w:rPr>
          <w:rStyle w:val="notranslate"/>
        </w:rPr>
        <w:t>lles tablettes babylonienne</w:t>
      </w:r>
      <w:r w:rsidR="005C6972">
        <w:rPr>
          <w:rStyle w:val="notranslate"/>
        </w:rPr>
        <w:t>s</w:t>
      </w:r>
      <w:bookmarkStart w:id="0" w:name="_GoBack"/>
      <w:bookmarkEnd w:id="0"/>
      <w:r>
        <w:rPr>
          <w:rStyle w:val="notranslate"/>
        </w:rPr>
        <w:t xml:space="preserve"> connue. Elle date approximativement de </w:t>
      </w:r>
      <w:r w:rsidRPr="00472BE4">
        <w:rPr>
          <w:rStyle w:val="notranslate"/>
          <w:b/>
        </w:rPr>
        <w:t>1700 av J.C.</w:t>
      </w:r>
      <w:r>
        <w:rPr>
          <w:rStyle w:val="notranslate"/>
        </w:rPr>
        <w:t xml:space="preserve"> et il semblerait qu’il s’agisse du travail d’un élève scribe du sud de la Mésopotamie (Irak).</w:t>
      </w:r>
      <w:r w:rsidR="001B1338">
        <w:rPr>
          <w:rStyle w:val="Appelnotedebasdep"/>
        </w:rPr>
        <w:footnoteReference w:id="1"/>
      </w:r>
    </w:p>
    <w:p w:rsidR="00525A94" w:rsidRDefault="00894FAE" w:rsidP="00F541BA">
      <w:pPr>
        <w:jc w:val="center"/>
      </w:pPr>
      <w:r>
        <w:rPr>
          <w:noProof/>
        </w:rPr>
        <w:drawing>
          <wp:inline distT="0" distB="0" distL="0" distR="0" wp14:anchorId="5B56E228" wp14:editId="426A80AC">
            <wp:extent cx="2282190" cy="2860040"/>
            <wp:effectExtent l="0" t="0" r="3810" b="0"/>
            <wp:docPr id="3" name="Image 3" descr="Picture of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of tabl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1BA">
        <w:rPr>
          <w:noProof/>
        </w:rPr>
        <w:drawing>
          <wp:inline distT="0" distB="0" distL="0" distR="0">
            <wp:extent cx="3297600" cy="3002400"/>
            <wp:effectExtent l="0" t="0" r="0" b="7620"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38">
        <w:rPr>
          <w:rStyle w:val="Appelnotedebasdep"/>
        </w:rPr>
        <w:footnoteReference w:id="2"/>
      </w:r>
    </w:p>
    <w:p w:rsidR="00E459F4" w:rsidRDefault="00894FAE">
      <w:r>
        <w:t>Il s’agit surement d’un travail scolaire, issu d’une étude d’un problème qui devait être géométrique (comme les problèmes datant de cette époque)</w:t>
      </w:r>
      <w:r w:rsidR="00477F5F">
        <w:t xml:space="preserve">. Sur la tablette, on peut observer un carré et ses deux diagonales. </w:t>
      </w:r>
    </w:p>
    <w:p w:rsidR="00525A94" w:rsidRDefault="00525A94">
      <w:r>
        <w:t xml:space="preserve">Les </w:t>
      </w:r>
      <w:r w:rsidR="00894FAE">
        <w:t>babyloniens</w:t>
      </w:r>
      <w:r>
        <w:t xml:space="preserve"> utilisaient une </w:t>
      </w:r>
      <w:r w:rsidRPr="00F8382D">
        <w:rPr>
          <w:b/>
        </w:rPr>
        <w:t>écriture cunéiforme</w:t>
      </w:r>
      <w:r>
        <w:t xml:space="preserve">, et comptaient en </w:t>
      </w:r>
      <w:r w:rsidRPr="00F8382D">
        <w:rPr>
          <w:b/>
        </w:rPr>
        <w:t>base sexagésimal</w:t>
      </w:r>
      <w:r>
        <w:t xml:space="preserve"> (base 60).</w:t>
      </w:r>
    </w:p>
    <w:p w:rsidR="00525A94" w:rsidRDefault="00525A94">
      <w:r>
        <w:t xml:space="preserve">Sur cette tablette on peut lire : </w:t>
      </w:r>
    </w:p>
    <w:p w:rsidR="005C5372" w:rsidRDefault="005C537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118313</wp:posOffset>
            </wp:positionV>
            <wp:extent cx="263525" cy="255905"/>
            <wp:effectExtent l="0" t="0" r="3175" b="0"/>
            <wp:wrapThrough wrapText="bothSides">
              <wp:wrapPolygon edited="0">
                <wp:start x="0" y="0"/>
                <wp:lineTo x="0" y="19295"/>
                <wp:lineTo x="20299" y="19295"/>
                <wp:lineTo x="20299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9F4" w:rsidRDefault="005C5372" w:rsidP="00E459F4">
      <w:pPr>
        <w:pStyle w:val="Paragraphedeliste"/>
        <w:numPr>
          <w:ilvl w:val="0"/>
          <w:numId w:val="1"/>
        </w:numPr>
      </w:pPr>
      <w:r>
        <w:t>Sur</w:t>
      </w:r>
      <w:r w:rsidR="00E459F4">
        <w:t xml:space="preserve"> le côté : 30</w:t>
      </w:r>
      <w:r>
        <w:t xml:space="preserve"> : </w:t>
      </w:r>
    </w:p>
    <w:p w:rsidR="005C5372" w:rsidRDefault="005C5372" w:rsidP="005C5372">
      <w:pPr>
        <w:pStyle w:val="Paragraphedeliste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2504440</wp:posOffset>
            </wp:positionH>
            <wp:positionV relativeFrom="paragraph">
              <wp:posOffset>131445</wp:posOffset>
            </wp:positionV>
            <wp:extent cx="1492250" cy="358140"/>
            <wp:effectExtent l="0" t="0" r="0" b="3810"/>
            <wp:wrapThrough wrapText="bothSides">
              <wp:wrapPolygon edited="0">
                <wp:start x="0" y="0"/>
                <wp:lineTo x="0" y="20681"/>
                <wp:lineTo x="21232" y="20681"/>
                <wp:lineTo x="21232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5086756</wp:posOffset>
            </wp:positionH>
            <wp:positionV relativeFrom="paragraph">
              <wp:posOffset>131089</wp:posOffset>
            </wp:positionV>
            <wp:extent cx="1741170" cy="314325"/>
            <wp:effectExtent l="0" t="0" r="0" b="9525"/>
            <wp:wrapThrough wrapText="bothSides">
              <wp:wrapPolygon edited="0">
                <wp:start x="0" y="0"/>
                <wp:lineTo x="0" y="20945"/>
                <wp:lineTo x="21269" y="20945"/>
                <wp:lineTo x="21269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A94" w:rsidRDefault="00E459F4" w:rsidP="005C5372">
      <w:pPr>
        <w:pStyle w:val="Paragraphedeliste"/>
        <w:numPr>
          <w:ilvl w:val="0"/>
          <w:numId w:val="1"/>
        </w:numPr>
      </w:pPr>
      <w:r>
        <w:t xml:space="preserve">Sur les diagonales : </w:t>
      </w:r>
      <w:r w:rsidR="00894FAE">
        <w:t>1 ;24 ;51 ;10</w:t>
      </w:r>
      <w:r>
        <w:t xml:space="preserve"> </w:t>
      </w:r>
      <w:r w:rsidR="005C5372">
        <w:t xml:space="preserve"> et 42 ;25,35 : </w:t>
      </w:r>
    </w:p>
    <w:p w:rsidR="005C5372" w:rsidRDefault="005C5372"/>
    <w:p w:rsidR="00B125B7" w:rsidRDefault="005C5372">
      <w:pPr>
        <w:rPr>
          <w:rFonts w:eastAsiaTheme="minorEastAsia"/>
        </w:rPr>
      </w:pPr>
      <w:r>
        <w:t xml:space="preserve">Or en convertissant en base 10 : 1 ;24,51, 10 = </w:t>
      </w:r>
      <m:oMath>
        <m:r>
          <w:rPr>
            <w:rFonts w:ascii="Cambria Math" w:hAnsi="Cambria Math"/>
          </w:rPr>
          <m:t>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60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60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≅1,414 212 963</m:t>
        </m:r>
      </m:oMath>
      <w:r w:rsidR="00B125B7">
        <w:rPr>
          <w:rFonts w:eastAsiaTheme="minorEastAsia"/>
        </w:rPr>
        <w:t xml:space="preserve"> (la valeur approchée de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  <w:r w:rsidR="00B125B7">
        <w:rPr>
          <w:rFonts w:eastAsiaTheme="minorEastAsia"/>
        </w:rPr>
        <w:t xml:space="preserve"> par la calculatrice est</w:t>
      </w:r>
      <m:oMath>
        <m:r>
          <w:rPr>
            <w:rFonts w:ascii="Cambria Math" w:eastAsiaTheme="minorEastAsia" w:hAnsi="Cambria Math"/>
          </w:rPr>
          <m:t xml:space="preserve"> 1,414 213 562</m:t>
        </m:r>
      </m:oMath>
      <w:r w:rsidR="00B125B7">
        <w:rPr>
          <w:rFonts w:eastAsiaTheme="minorEastAsia"/>
        </w:rPr>
        <w:t xml:space="preserve">. </w:t>
      </w:r>
    </w:p>
    <w:p w:rsidR="005C5372" w:rsidRDefault="00B125B7">
      <w:pPr>
        <w:rPr>
          <w:rFonts w:eastAsiaTheme="minorEastAsia"/>
        </w:rPr>
      </w:pPr>
      <w:r>
        <w:rPr>
          <w:rFonts w:eastAsiaTheme="minorEastAsia"/>
        </w:rPr>
        <w:t xml:space="preserve">De plus </w:t>
      </w:r>
      <m:oMath>
        <m:r>
          <w:rPr>
            <w:rFonts w:ascii="Cambria Math" w:eastAsiaTheme="minorEastAsia" w:hAnsi="Cambria Math"/>
          </w:rPr>
          <m:t>30×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24</m:t>
                </m:r>
              </m:num>
              <m:den>
                <m:r>
                  <w:rPr>
                    <w:rFonts w:ascii="Cambria Math" w:hAnsi="Cambria Math"/>
                  </w:rPr>
                  <m:t>60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</w:rPr>
          <m:t>≅42,42638889</m:t>
        </m:r>
      </m:oMath>
      <w:r>
        <w:rPr>
          <w:rFonts w:eastAsiaTheme="minorEastAsia"/>
        </w:rPr>
        <w:t xml:space="preserve"> et en base décimal 42 ;25,35 = </w:t>
      </w:r>
      <m:oMath>
        <m:r>
          <w:rPr>
            <w:rFonts w:ascii="Cambria Math" w:eastAsiaTheme="minorEastAsia" w:hAnsi="Cambria Math"/>
          </w:rPr>
          <m:t>42+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60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60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≅42,42638889</m:t>
        </m:r>
      </m:oMath>
      <w:r>
        <w:rPr>
          <w:rFonts w:eastAsiaTheme="minorEastAsia"/>
        </w:rPr>
        <w:t>.</w:t>
      </w:r>
    </w:p>
    <w:p w:rsidR="00B125B7" w:rsidRDefault="00B125B7">
      <w:r>
        <w:t>L’élève a donc réalisé un calcul approché de la diagonale d’un carré de côté 30.</w:t>
      </w:r>
    </w:p>
    <w:p w:rsidR="00F8382D" w:rsidRDefault="00B125B7">
      <w:r>
        <w:t>Sur la tablette il n’est pas indiqué de méthode pour réaliser ce calcul, seul le résultat est apparent.</w:t>
      </w:r>
      <w:r w:rsidR="00A90B5A">
        <w:t xml:space="preserve"> Il semblerait que l’élève ait repris </w:t>
      </w:r>
      <w:r w:rsidR="00F8382D">
        <w:t>des nombres issus</w:t>
      </w:r>
      <w:r w:rsidR="00A90B5A">
        <w:t xml:space="preserve"> d’une</w:t>
      </w:r>
      <w:r w:rsidR="00F8382D">
        <w:t xml:space="preserve"> table de valeurs. La question qui se pose est donc comment cette table de valeurs a-t-elle été établie ?</w:t>
      </w:r>
    </w:p>
    <w:p w:rsidR="00B125B7" w:rsidRDefault="00A90B5A">
      <w:r>
        <w:t>Une solution possible est l’utilisation d</w:t>
      </w:r>
      <w:r w:rsidR="00986C27">
        <w:t>’une méthode</w:t>
      </w:r>
      <w:r w:rsidR="009A246D">
        <w:t>, connue des babylonien</w:t>
      </w:r>
      <w:r w:rsidR="00472BE4">
        <w:t>s</w:t>
      </w:r>
      <w:r w:rsidR="009A246D">
        <w:t xml:space="preserve">, mais s’appelant la </w:t>
      </w:r>
      <w:r w:rsidRPr="00F8382D">
        <w:rPr>
          <w:b/>
        </w:rPr>
        <w:t>méthode de Héron</w:t>
      </w:r>
      <w:r>
        <w:t>.</w:t>
      </w:r>
    </w:p>
    <w:p w:rsidR="00472BE4" w:rsidRDefault="00472BE4"/>
    <w:p w:rsidR="00B125B7" w:rsidRPr="001B1338" w:rsidRDefault="009A246D">
      <w:pPr>
        <w:rPr>
          <w:rFonts w:ascii="Arial Narrow" w:hAnsi="Arial Narrow"/>
        </w:rPr>
      </w:pPr>
      <w:r w:rsidRPr="001B1338">
        <w:rPr>
          <w:rFonts w:ascii="Arial Narrow" w:hAnsi="Arial Narrow"/>
          <w:b/>
        </w:rPr>
        <w:t>Héron d’Alexandrie</w:t>
      </w:r>
      <w:r w:rsidRPr="001B1338">
        <w:rPr>
          <w:rFonts w:ascii="Arial Narrow" w:hAnsi="Arial Narrow"/>
        </w:rPr>
        <w:t xml:space="preserve"> (mathématicien </w:t>
      </w:r>
      <w:r w:rsidR="0033080F">
        <w:rPr>
          <w:rFonts w:ascii="Arial Narrow" w:hAnsi="Arial Narrow"/>
        </w:rPr>
        <w:t xml:space="preserve">grec ou </w:t>
      </w:r>
      <w:r w:rsidRPr="001B1338">
        <w:rPr>
          <w:rFonts w:ascii="Arial Narrow" w:hAnsi="Arial Narrow"/>
        </w:rPr>
        <w:t xml:space="preserve">égyptien du </w:t>
      </w:r>
      <w:r w:rsidRPr="00472BE4">
        <w:rPr>
          <w:rFonts w:ascii="Arial Narrow" w:hAnsi="Arial Narrow"/>
          <w:b/>
        </w:rPr>
        <w:t>I</w:t>
      </w:r>
      <w:r w:rsidRPr="00472BE4">
        <w:rPr>
          <w:rFonts w:ascii="Arial Narrow" w:hAnsi="Arial Narrow"/>
          <w:b/>
          <w:vertAlign w:val="superscript"/>
        </w:rPr>
        <w:t>er</w:t>
      </w:r>
      <w:r w:rsidRPr="00472BE4">
        <w:rPr>
          <w:rFonts w:ascii="Arial Narrow" w:hAnsi="Arial Narrow"/>
          <w:b/>
        </w:rPr>
        <w:t xml:space="preserve"> siècle après J.C</w:t>
      </w:r>
      <w:r w:rsidRPr="001B1338">
        <w:rPr>
          <w:rFonts w:ascii="Arial Narrow" w:hAnsi="Arial Narrow"/>
        </w:rPr>
        <w:t>.).</w:t>
      </w:r>
      <w:r w:rsidRPr="001B1338">
        <w:rPr>
          <w:rStyle w:val="Appelnotedebasdep"/>
          <w:rFonts w:ascii="Arial Narrow" w:hAnsi="Arial Narrow"/>
        </w:rPr>
        <w:footnoteReference w:id="3"/>
      </w:r>
    </w:p>
    <w:p w:rsidR="009A246D" w:rsidRPr="001B1338" w:rsidRDefault="009A246D">
      <w:pPr>
        <w:rPr>
          <w:rFonts w:ascii="Arial Narrow" w:hAnsi="Arial Narrow"/>
        </w:rPr>
      </w:pPr>
      <w:r w:rsidRPr="001B1338">
        <w:rPr>
          <w:rFonts w:ascii="Arial Narrow" w:hAnsi="Arial Narrow"/>
        </w:rPr>
        <w:t>Héron d’Alexandrie est un érudit, il a de nombreuses connaissances issues des méthodes des gre</w:t>
      </w:r>
      <w:r w:rsidR="0033080F">
        <w:rPr>
          <w:rFonts w:ascii="Arial Narrow" w:hAnsi="Arial Narrow"/>
        </w:rPr>
        <w:t>cs</w:t>
      </w:r>
      <w:r w:rsidRPr="001B1338">
        <w:rPr>
          <w:rFonts w:ascii="Arial Narrow" w:hAnsi="Arial Narrow"/>
        </w:rPr>
        <w:t xml:space="preserve"> mais aussi des babyloniens. Il a écrit de nombreux ouvrages, dont 14 sont actuellement référencés. </w:t>
      </w:r>
    </w:p>
    <w:p w:rsidR="009A246D" w:rsidRPr="001B1338" w:rsidRDefault="009A246D">
      <w:pPr>
        <w:rPr>
          <w:rFonts w:ascii="Arial Narrow" w:hAnsi="Arial Narrow"/>
        </w:rPr>
      </w:pPr>
      <w:r w:rsidRPr="001B1338">
        <w:rPr>
          <w:rFonts w:ascii="Arial Narrow" w:hAnsi="Arial Narrow"/>
          <w:i/>
        </w:rPr>
        <w:t>Pneumatica</w:t>
      </w:r>
      <w:r w:rsidRPr="001B1338">
        <w:rPr>
          <w:rFonts w:ascii="Arial Narrow" w:hAnsi="Arial Narrow"/>
        </w:rPr>
        <w:t xml:space="preserve"> : ouvrages référençant </w:t>
      </w:r>
      <w:r w:rsidR="001B1338" w:rsidRPr="001B1338">
        <w:rPr>
          <w:rFonts w:ascii="Arial Narrow" w:hAnsi="Arial Narrow"/>
        </w:rPr>
        <w:t>un certain nombre</w:t>
      </w:r>
      <w:r w:rsidRPr="001B1338">
        <w:rPr>
          <w:rFonts w:ascii="Arial Narrow" w:hAnsi="Arial Narrow"/>
        </w:rPr>
        <w:t xml:space="preserve"> de machines mues par </w:t>
      </w:r>
    </w:p>
    <w:p w:rsidR="009A246D" w:rsidRPr="001B1338" w:rsidRDefault="001B1338">
      <w:pPr>
        <w:rPr>
          <w:rFonts w:ascii="Arial Narrow" w:hAnsi="Arial Narrow"/>
        </w:rPr>
      </w:pPr>
      <w:r w:rsidRPr="001B1338">
        <w:rPr>
          <w:rFonts w:ascii="Arial Narrow" w:hAnsi="Arial Narrow"/>
          <w:i/>
        </w:rPr>
        <w:t>Catoptrica</w:t>
      </w:r>
      <w:r w:rsidRPr="001B1338">
        <w:rPr>
          <w:rFonts w:ascii="Arial Narrow" w:hAnsi="Arial Narrow"/>
        </w:rPr>
        <w:t> : principe de réflexion de la lumière</w:t>
      </w:r>
    </w:p>
    <w:p w:rsidR="001B1338" w:rsidRDefault="001B1338">
      <w:pPr>
        <w:rPr>
          <w:rFonts w:ascii="Arial Narrow" w:hAnsi="Arial Narrow"/>
        </w:rPr>
      </w:pPr>
      <w:r w:rsidRPr="001B1338">
        <w:rPr>
          <w:rFonts w:ascii="Arial Narrow" w:hAnsi="Arial Narrow"/>
          <w:i/>
        </w:rPr>
        <w:t>Geométrica</w:t>
      </w:r>
      <w:r w:rsidRPr="001B1338">
        <w:rPr>
          <w:rFonts w:ascii="Arial Narrow" w:hAnsi="Arial Narrow"/>
        </w:rPr>
        <w:t> : ouvrage de mathématiques, travail sur les aires et volumes et leurs applications (théâtres, thermes) C’est dans cet ouvrage que l’on trouve la méthode dite de Héron</w:t>
      </w:r>
      <w:r>
        <w:rPr>
          <w:rFonts w:ascii="Arial Narrow" w:hAnsi="Arial Narrow"/>
        </w:rPr>
        <w:t>, la formule de Héron pour l’aire d’un triangle de côté a, b et c et de demi périmètre p :</w:t>
      </w:r>
    </w:p>
    <w:p w:rsidR="009A246D" w:rsidRDefault="001B1338" w:rsidP="001B1338">
      <w:pPr>
        <w:rPr>
          <w:rFonts w:ascii="Arial Narrow" w:eastAsiaTheme="minorEastAsia" w:hAnsi="Arial Narrow"/>
        </w:rPr>
      </w:pPr>
      <w:r>
        <w:rPr>
          <w:rFonts w:ascii="Arial Narrow" w:hAnsi="Arial Narrow"/>
        </w:rPr>
        <w:t xml:space="preserve"> </w:t>
      </w:r>
      <m:oMath>
        <m:r>
          <w:rPr>
            <w:rFonts w:ascii="Cambria Math" w:hAnsi="Cambria Math"/>
          </w:rPr>
          <m:t>A=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p-a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p-b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p-c</m:t>
                </m:r>
              </m:e>
            </m:d>
          </m:e>
        </m:rad>
      </m:oMath>
      <w:r>
        <w:rPr>
          <w:rFonts w:ascii="Arial Narrow" w:eastAsiaTheme="minorEastAsia" w:hAnsi="Arial Narrow"/>
        </w:rPr>
        <w:t>.</w:t>
      </w:r>
    </w:p>
    <w:p w:rsidR="001B1338" w:rsidRDefault="00875D71" w:rsidP="001B1338">
      <w:r>
        <w:lastRenderedPageBreak/>
        <w:t>Le principe de la méthode de Héron est de trouver</w:t>
      </w:r>
      <w:r w:rsidR="00472BE4">
        <w:t xml:space="preserve"> la longueur du côté d’un carré d’aire 2, en partant d’un rectangle d’aire 2. Ce rectangle pourra avoir pour dimension</w:t>
      </w:r>
      <w:r w:rsidR="00320309">
        <w:t> : largeur :</w:t>
      </w:r>
      <w:r w:rsidR="00472BE4">
        <w:t xml:space="preserve"> 1 et</w:t>
      </w:r>
      <w:r w:rsidR="00320309">
        <w:t xml:space="preserve"> longueur :</w:t>
      </w:r>
      <w:r w:rsidR="00472BE4">
        <w:t xml:space="preserve"> 2.</w:t>
      </w:r>
      <w:r w:rsidR="00F43665">
        <w:t xml:space="preserve"> Puis on modifie ce rectangle en </w:t>
      </w:r>
      <w:r w:rsidR="0016014D">
        <w:t xml:space="preserve">remplaçant </w:t>
      </w:r>
      <w:r w:rsidR="00F57845">
        <w:t>la</w:t>
      </w:r>
      <w:r w:rsidR="0016014D">
        <w:t xml:space="preserve"> longueur par la moyenne arithmétique </w:t>
      </w:r>
      <w:r w:rsidR="00F57845">
        <w:t>de la longueur et de la largeur</w:t>
      </w:r>
      <w:r w:rsidR="0016014D">
        <w:t xml:space="preserve">, </w:t>
      </w:r>
      <w:r w:rsidR="00F57845">
        <w:t>la largeur</w:t>
      </w:r>
      <w:r w:rsidR="0016014D">
        <w:t xml:space="preserve"> étant calculée pour que l’aire de ce nouveau rectangle reste 2. Puis on itère ce procédé.</w:t>
      </w:r>
    </w:p>
    <w:p w:rsidR="0033080F" w:rsidRDefault="0033080F" w:rsidP="001B1338"/>
    <w:p w:rsidR="00472BE4" w:rsidRPr="00F57845" w:rsidRDefault="00130B94" w:rsidP="001B1338">
      <w:pPr>
        <w:rPr>
          <w:b/>
          <w:u w:val="single"/>
        </w:rPr>
      </w:pPr>
      <w:r w:rsidRPr="00F57845">
        <w:rPr>
          <w:b/>
          <w:u w:val="single"/>
        </w:rPr>
        <w:t>PARTIE 1 : Travail sous Geogebra</w:t>
      </w:r>
    </w:p>
    <w:p w:rsidR="00130B94" w:rsidRPr="00CD3802" w:rsidRDefault="004E0ECE" w:rsidP="001B1338">
      <w:pPr>
        <w:rPr>
          <w:rFonts w:eastAsiaTheme="minorEastAsia"/>
        </w:rPr>
      </w:pPr>
      <w:r w:rsidRPr="00F57845">
        <w:rPr>
          <w:b/>
        </w:rPr>
        <w:t>1°)</w:t>
      </w:r>
      <w:r w:rsidR="00CD3802">
        <w:t xml:space="preserve"> Placer le point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 ;0</m:t>
            </m:r>
          </m:e>
        </m:d>
        <m:r>
          <w:rPr>
            <w:rFonts w:ascii="Cambria Math" w:hAnsi="Cambria Math"/>
          </w:rPr>
          <m:t>.</m:t>
        </m:r>
      </m:oMath>
    </w:p>
    <w:p w:rsidR="00CD3802" w:rsidRDefault="00CD3802" w:rsidP="001B1338">
      <w:pPr>
        <w:rPr>
          <w:rFonts w:eastAsiaTheme="minorEastAsia"/>
        </w:rPr>
      </w:pPr>
      <w:r w:rsidRPr="00F57845">
        <w:rPr>
          <w:rFonts w:eastAsiaTheme="minorEastAsia"/>
          <w:b/>
        </w:rPr>
        <w:t>2°)</w:t>
      </w:r>
      <w:r>
        <w:rPr>
          <w:rFonts w:eastAsiaTheme="minorEastAsia"/>
        </w:rPr>
        <w:t xml:space="preserve"> Ouvrir le tableur : </w:t>
      </w:r>
    </w:p>
    <w:p w:rsidR="00CD3802" w:rsidRDefault="00CD3802" w:rsidP="001B1338">
      <w:pPr>
        <w:rPr>
          <w:rFonts w:eastAsiaTheme="minorEastAsia"/>
        </w:rPr>
      </w:pPr>
      <w:r>
        <w:rPr>
          <w:rFonts w:eastAsiaTheme="minorEastAsia"/>
        </w:rPr>
        <w:t>Dans la colonne A on mettra la largeur des rectangles, donc A1 = 2</w:t>
      </w:r>
    </w:p>
    <w:p w:rsidR="00CD3802" w:rsidRDefault="00CD3802" w:rsidP="001B1338">
      <w:pPr>
        <w:rPr>
          <w:rFonts w:eastAsiaTheme="minorEastAsia"/>
        </w:rPr>
      </w:pPr>
      <w:r>
        <w:rPr>
          <w:rFonts w:eastAsiaTheme="minorEastAsia"/>
        </w:rPr>
        <w:t>Dans la colonne B on mettra la hauteur des rectangles, donc B1 = 1</w:t>
      </w:r>
    </w:p>
    <w:p w:rsidR="00CD3802" w:rsidRDefault="00CD3802" w:rsidP="001B1338">
      <w:pPr>
        <w:rPr>
          <w:rFonts w:eastAsiaTheme="minorEastAsia"/>
        </w:rPr>
      </w:pPr>
      <w:r>
        <w:rPr>
          <w:rFonts w:eastAsiaTheme="minorEastAsia"/>
        </w:rPr>
        <w:t>Dans les colonnes C à E on indiquera les coordonnées des points permettant de construire les rectangles successifs, l’un des sommets du rectangle restant O.</w:t>
      </w:r>
    </w:p>
    <w:p w:rsidR="00CD3802" w:rsidRDefault="00CD3802" w:rsidP="001B1338">
      <w:pPr>
        <w:rPr>
          <w:rFonts w:eastAsiaTheme="minorEastAsia"/>
        </w:rPr>
      </w:pPr>
      <w:r>
        <w:rPr>
          <w:rFonts w:eastAsiaTheme="minorEastAsia"/>
        </w:rPr>
        <w:t>Dans la colonne F, on indique les rectangles successifs. Pour cela on utilisa la commande Polygone({liste des points}).</w:t>
      </w:r>
    </w:p>
    <w:p w:rsidR="00F57845" w:rsidRDefault="00F57845" w:rsidP="001B1338">
      <w:pPr>
        <w:rPr>
          <w:rFonts w:eastAsiaTheme="minorEastAsia"/>
        </w:rPr>
      </w:pPr>
      <w:r>
        <w:rPr>
          <w:rFonts w:eastAsiaTheme="minorEastAsia"/>
        </w:rPr>
        <w:tab/>
      </w:r>
      <w:r w:rsidRPr="00F57845">
        <w:rPr>
          <w:rFonts w:eastAsiaTheme="minorEastAsia"/>
          <w:b/>
        </w:rPr>
        <w:t>a)</w:t>
      </w:r>
      <w:r>
        <w:rPr>
          <w:rFonts w:eastAsiaTheme="minorEastAsia"/>
        </w:rPr>
        <w:t xml:space="preserve"> Quelle formule doit-on enregistrer dans A2 ?</w:t>
      </w:r>
    </w:p>
    <w:p w:rsidR="00F57845" w:rsidRDefault="00F57845" w:rsidP="001B1338">
      <w:pPr>
        <w:rPr>
          <w:rFonts w:eastAsiaTheme="minorEastAsia"/>
        </w:rPr>
      </w:pPr>
      <w:r>
        <w:rPr>
          <w:rFonts w:eastAsiaTheme="minorEastAsia"/>
        </w:rPr>
        <w:tab/>
      </w:r>
      <w:r w:rsidRPr="00F57845">
        <w:rPr>
          <w:rFonts w:eastAsiaTheme="minorEastAsia"/>
          <w:b/>
        </w:rPr>
        <w:t>b)</w:t>
      </w:r>
      <w:r>
        <w:rPr>
          <w:rFonts w:eastAsiaTheme="minorEastAsia"/>
        </w:rPr>
        <w:t xml:space="preserve"> Quelle formule doit-on enregistrer dans B2 ?</w:t>
      </w:r>
    </w:p>
    <w:p w:rsidR="00CD3802" w:rsidRDefault="00F57845" w:rsidP="001B1338">
      <w:pPr>
        <w:rPr>
          <w:rFonts w:eastAsiaTheme="minorEastAsia"/>
        </w:rPr>
      </w:pPr>
      <w:r w:rsidRPr="00F57845">
        <w:rPr>
          <w:rFonts w:eastAsiaTheme="minorEastAsia"/>
          <w:b/>
        </w:rPr>
        <w:t>3°)</w:t>
      </w:r>
      <w:r>
        <w:rPr>
          <w:rFonts w:eastAsiaTheme="minorEastAsia"/>
        </w:rPr>
        <w:t xml:space="preserve"> Combien de chiffres semblent « stabilisés » après 5 étapes ?</w:t>
      </w:r>
    </w:p>
    <w:p w:rsidR="0033080F" w:rsidRPr="00CD3802" w:rsidRDefault="0033080F" w:rsidP="001B1338">
      <w:pPr>
        <w:rPr>
          <w:rFonts w:eastAsiaTheme="minorEastAsia"/>
        </w:rPr>
      </w:pPr>
    </w:p>
    <w:p w:rsidR="00F43665" w:rsidRPr="00F57845" w:rsidRDefault="00F57845" w:rsidP="001B1338">
      <w:pPr>
        <w:rPr>
          <w:b/>
          <w:u w:val="single"/>
        </w:rPr>
      </w:pPr>
      <w:r w:rsidRPr="00F57845">
        <w:rPr>
          <w:b/>
          <w:u w:val="single"/>
        </w:rPr>
        <w:t>PARTIE 2 : Travail avec Python</w:t>
      </w:r>
    </w:p>
    <w:p w:rsidR="00F57845" w:rsidRDefault="00320309" w:rsidP="001B1338">
      <w:r w:rsidRPr="00320309">
        <w:rPr>
          <w:b/>
        </w:rPr>
        <w:t>1°)</w:t>
      </w:r>
      <w:r>
        <w:t xml:space="preserve"> </w:t>
      </w:r>
      <w:r w:rsidR="00F57845">
        <w:t xml:space="preserve">Écrire une fonction </w:t>
      </w:r>
      <w:r w:rsidR="00F57845" w:rsidRPr="002514D3">
        <w:rPr>
          <w:i/>
        </w:rPr>
        <w:t>heron(n)</w:t>
      </w:r>
      <w:r w:rsidR="00F57845">
        <w:t>, qui renvoie la longueur du rectangle à l’étape n.</w:t>
      </w:r>
    </w:p>
    <w:p w:rsidR="00320309" w:rsidRDefault="00320309" w:rsidP="001B1338">
      <w:r w:rsidRPr="00320309">
        <w:rPr>
          <w:b/>
        </w:rPr>
        <w:t>2°)</w:t>
      </w:r>
      <w:r>
        <w:t xml:space="preserve"> Utiliser la fonction précédente pour déterminer une valeur approchée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 avec une précision donnée par l’utilisateur.</w:t>
      </w:r>
    </w:p>
    <w:p w:rsidR="00130B94" w:rsidRDefault="00130B94" w:rsidP="001B1338"/>
    <w:p w:rsidR="00130B94" w:rsidRDefault="00320309" w:rsidP="001B1338">
      <w:r>
        <w:t xml:space="preserve">En réalité, la méthode de Héron, tel que décrite dans </w:t>
      </w:r>
      <w:r w:rsidR="003A41D3">
        <w:t xml:space="preserve">le livre I de ses </w:t>
      </w:r>
      <w:r w:rsidRPr="002514D3">
        <w:rPr>
          <w:i/>
        </w:rPr>
        <w:t>Métrique</w:t>
      </w:r>
      <w:r w:rsidR="00E77F52">
        <w:rPr>
          <w:i/>
        </w:rPr>
        <w:t xml:space="preserve"> (</w:t>
      </w:r>
      <w:r w:rsidR="00E77F52" w:rsidRPr="00E77F52">
        <w:t xml:space="preserve">livre rédigé en grecque et retrouvé à Constantinople </w:t>
      </w:r>
      <w:r w:rsidR="00871441">
        <w:t>en 1896</w:t>
      </w:r>
      <w:r w:rsidR="00E77F52">
        <w:rPr>
          <w:i/>
        </w:rPr>
        <w:t>)</w:t>
      </w:r>
      <w:r>
        <w:t xml:space="preserve">, permet de déterminer une valeur approchée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720</m:t>
            </m:r>
          </m:e>
        </m:rad>
      </m:oMath>
      <w:r w:rsidR="002514D3">
        <w:t>.</w:t>
      </w:r>
    </w:p>
    <w:p w:rsidR="00320309" w:rsidRDefault="00871441" w:rsidP="00320309">
      <w:pPr>
        <w:rPr>
          <w:i/>
        </w:rPr>
      </w:pPr>
      <w:r w:rsidRPr="00871441">
        <w:rPr>
          <w:i/>
        </w:rPr>
        <w:t>« </w:t>
      </w:r>
      <w:r w:rsidR="00320309" w:rsidRPr="00320309">
        <w:rPr>
          <w:i/>
        </w:rPr>
        <w:t xml:space="preserve">Puisque 720 n’a pas de </w:t>
      </w:r>
      <w:r w:rsidR="00320309" w:rsidRPr="00871441">
        <w:rPr>
          <w:i/>
        </w:rPr>
        <w:t>côté</w:t>
      </w:r>
      <w:r w:rsidR="00320309" w:rsidRPr="00320309">
        <w:rPr>
          <w:i/>
        </w:rPr>
        <w:t xml:space="preserve"> rationnel, nous extrairons le </w:t>
      </w:r>
      <w:r w:rsidR="00320309" w:rsidRPr="00871441">
        <w:rPr>
          <w:i/>
        </w:rPr>
        <w:t>côté</w:t>
      </w:r>
      <w:r w:rsidR="00320309" w:rsidRPr="00320309">
        <w:rPr>
          <w:i/>
        </w:rPr>
        <w:t xml:space="preserve"> avec une tr</w:t>
      </w:r>
      <w:r w:rsidR="00320309" w:rsidRPr="00871441">
        <w:rPr>
          <w:i/>
        </w:rPr>
        <w:t>è</w:t>
      </w:r>
      <w:r w:rsidR="00320309" w:rsidRPr="00320309">
        <w:rPr>
          <w:i/>
        </w:rPr>
        <w:t>s petite</w:t>
      </w:r>
      <w:r w:rsidR="00320309" w:rsidRPr="00871441">
        <w:rPr>
          <w:i/>
        </w:rPr>
        <w:t xml:space="preserve"> différence de la façon </w:t>
      </w:r>
      <w:r w:rsidRPr="00871441">
        <w:rPr>
          <w:rStyle w:val="Appelnotedebasdep"/>
          <w:i/>
        </w:rPr>
        <w:footnoteReference w:id="4"/>
      </w:r>
      <w:r w:rsidRPr="00871441">
        <w:rPr>
          <w:i/>
        </w:rPr>
        <w:t>comme il suit</w:t>
      </w:r>
      <w:r w:rsidR="00320309" w:rsidRPr="00871441">
        <w:rPr>
          <w:i/>
        </w:rPr>
        <w:t xml:space="preserve">. Comme le premier nombre carré plus grand que 720 est 729 qui a pour côté 27, divise 720 par 27, cela fait 26 et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20309" w:rsidRPr="00320309">
        <w:rPr>
          <w:i/>
        </w:rPr>
        <w:t xml:space="preserve"> , ajoute 27cela fait 53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20309" w:rsidRPr="00320309">
        <w:rPr>
          <w:i/>
        </w:rPr>
        <w:t xml:space="preserve"> ; prends-en la </w:t>
      </w:r>
      <w:r w:rsidR="00320309" w:rsidRPr="00871441">
        <w:rPr>
          <w:i/>
        </w:rPr>
        <w:t>moitié</w:t>
      </w:r>
      <w:r w:rsidR="00320309" w:rsidRPr="00320309">
        <w:rPr>
          <w:i/>
        </w:rPr>
        <w:t>, cela fait 26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33</m:t>
            </m:r>
          </m:den>
        </m:f>
      </m:oMath>
      <w:r w:rsidR="00320309" w:rsidRPr="00320309">
        <w:rPr>
          <w:i/>
        </w:rPr>
        <w:t xml:space="preserve"> . </w:t>
      </w:r>
      <w:r w:rsidRPr="00871441">
        <w:rPr>
          <w:i/>
        </w:rPr>
        <w:t xml:space="preserve">Ainsi donc le côté de 720 sera très proche de </w:t>
      </w:r>
      <w:r w:rsidR="00320309" w:rsidRPr="00320309">
        <w:rPr>
          <w:i/>
        </w:rPr>
        <w:t>26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33</m:t>
            </m:r>
          </m:den>
        </m:f>
      </m:oMath>
      <w:r w:rsidR="00320309" w:rsidRPr="00320309">
        <w:rPr>
          <w:i/>
        </w:rPr>
        <w:t xml:space="preserve"> </w:t>
      </w:r>
      <w:r w:rsidR="00320309" w:rsidRPr="00871441">
        <w:rPr>
          <w:i/>
        </w:rPr>
        <w:t>multiplié</w:t>
      </w:r>
      <w:r w:rsidR="00320309" w:rsidRPr="00320309">
        <w:rPr>
          <w:i/>
        </w:rPr>
        <w:t xml:space="preserve"> par</w:t>
      </w:r>
      <w:r w:rsidR="00320309" w:rsidRPr="00871441">
        <w:rPr>
          <w:i/>
        </w:rPr>
        <w:t xml:space="preserve"> lui-même</w:t>
      </w:r>
      <w:r w:rsidR="00320309" w:rsidRPr="00320309">
        <w:rPr>
          <w:i/>
        </w:rPr>
        <w:t xml:space="preserve"> donne 720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 w:rsidR="00320309" w:rsidRPr="00320309">
        <w:rPr>
          <w:i/>
        </w:rPr>
        <w:t xml:space="preserve"> ; de sorte que la </w:t>
      </w:r>
      <w:r w:rsidR="00320309" w:rsidRPr="00871441">
        <w:rPr>
          <w:i/>
        </w:rPr>
        <w:t>différence</w:t>
      </w:r>
      <w:r w:rsidR="00320309" w:rsidRPr="00320309">
        <w:rPr>
          <w:i/>
        </w:rPr>
        <w:t xml:space="preserve">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 w:rsidRPr="00871441">
        <w:rPr>
          <w:rFonts w:eastAsiaTheme="minorEastAsia"/>
          <w:i/>
        </w:rPr>
        <w:t xml:space="preserve"> </w:t>
      </w:r>
      <w:r w:rsidR="00320309" w:rsidRPr="00320309">
        <w:rPr>
          <w:i/>
        </w:rPr>
        <w:t>. Si</w:t>
      </w:r>
      <w:r w:rsidR="00320309" w:rsidRPr="00871441">
        <w:rPr>
          <w:i/>
        </w:rPr>
        <w:t xml:space="preserve"> </w:t>
      </w:r>
      <w:r w:rsidR="00320309" w:rsidRPr="00320309">
        <w:rPr>
          <w:i/>
        </w:rPr>
        <w:t xml:space="preserve">nous voulons rendre cette </w:t>
      </w:r>
      <w:r w:rsidR="00320309" w:rsidRPr="00871441">
        <w:rPr>
          <w:i/>
        </w:rPr>
        <w:t>différence</w:t>
      </w:r>
      <w:r w:rsidR="00320309" w:rsidRPr="00320309">
        <w:rPr>
          <w:i/>
        </w:rPr>
        <w:t xml:space="preserve"> </w:t>
      </w:r>
      <w:r w:rsidR="00320309" w:rsidRPr="00871441">
        <w:rPr>
          <w:i/>
        </w:rPr>
        <w:t>inf</w:t>
      </w:r>
      <w:r w:rsidRPr="00871441">
        <w:rPr>
          <w:i/>
        </w:rPr>
        <w:t>é</w:t>
      </w:r>
      <w:r w:rsidR="00320309" w:rsidRPr="00871441">
        <w:rPr>
          <w:i/>
        </w:rPr>
        <w:t>rieure</w:t>
      </w:r>
      <w:r w:rsidR="00320309" w:rsidRPr="00320309">
        <w:rPr>
          <w:i/>
        </w:rPr>
        <w:t xml:space="preserve"> encore </w:t>
      </w:r>
      <w:r w:rsidRPr="00871441">
        <w:rPr>
          <w:i/>
        </w:rPr>
        <w:t>à</w:t>
      </w:r>
      <w:r w:rsidR="00320309" w:rsidRPr="00320309">
        <w:rPr>
          <w:i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 w:rsidR="00320309" w:rsidRPr="00320309">
        <w:rPr>
          <w:i/>
        </w:rPr>
        <w:t xml:space="preserve"> , nous mettrons 720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 w:rsidR="00320309" w:rsidRPr="00871441">
        <w:rPr>
          <w:i/>
        </w:rPr>
        <w:t xml:space="preserve"> trouvé</w:t>
      </w:r>
      <w:r w:rsidR="00320309" w:rsidRPr="00320309">
        <w:rPr>
          <w:i/>
        </w:rPr>
        <w:t xml:space="preserve"> tout </w:t>
      </w:r>
      <w:r w:rsidRPr="00871441">
        <w:rPr>
          <w:i/>
        </w:rPr>
        <w:t>auparavant,</w:t>
      </w:r>
      <w:r w:rsidR="00320309" w:rsidRPr="00320309">
        <w:rPr>
          <w:i/>
        </w:rPr>
        <w:t xml:space="preserve"> </w:t>
      </w:r>
      <w:r w:rsidRPr="00871441">
        <w:rPr>
          <w:i/>
        </w:rPr>
        <w:t>à</w:t>
      </w:r>
      <w:r w:rsidR="00320309" w:rsidRPr="00320309">
        <w:rPr>
          <w:i/>
        </w:rPr>
        <w:t xml:space="preserve"> la place de 729 et, en </w:t>
      </w:r>
      <w:r w:rsidR="00320309" w:rsidRPr="00871441">
        <w:rPr>
          <w:i/>
        </w:rPr>
        <w:t>procédant</w:t>
      </w:r>
      <w:r w:rsidR="00320309" w:rsidRPr="00320309">
        <w:rPr>
          <w:i/>
        </w:rPr>
        <w:t xml:space="preserve"> de la </w:t>
      </w:r>
      <w:r w:rsidR="00320309" w:rsidRPr="00871441">
        <w:rPr>
          <w:i/>
        </w:rPr>
        <w:t>même</w:t>
      </w:r>
      <w:r w:rsidR="00320309" w:rsidRPr="00320309">
        <w:rPr>
          <w:i/>
        </w:rPr>
        <w:t xml:space="preserve"> fa</w:t>
      </w:r>
      <w:r w:rsidRPr="00871441">
        <w:rPr>
          <w:i/>
        </w:rPr>
        <w:t>ç</w:t>
      </w:r>
      <w:r w:rsidR="00320309" w:rsidRPr="00320309">
        <w:rPr>
          <w:i/>
        </w:rPr>
        <w:t>on,</w:t>
      </w:r>
      <w:r w:rsidRPr="00871441">
        <w:rPr>
          <w:i/>
        </w:rPr>
        <w:t xml:space="preserve"> </w:t>
      </w:r>
      <w:r w:rsidR="00320309" w:rsidRPr="00320309">
        <w:rPr>
          <w:i/>
        </w:rPr>
        <w:t>nous</w:t>
      </w:r>
      <w:r w:rsidR="00320309" w:rsidRPr="00871441">
        <w:rPr>
          <w:i/>
        </w:rPr>
        <w:t xml:space="preserve"> </w:t>
      </w:r>
      <w:r w:rsidR="00320309" w:rsidRPr="00320309">
        <w:rPr>
          <w:i/>
        </w:rPr>
        <w:t xml:space="preserve">trouverons que la </w:t>
      </w:r>
      <w:r w:rsidR="00320309" w:rsidRPr="00871441">
        <w:rPr>
          <w:i/>
        </w:rPr>
        <w:t>différence</w:t>
      </w:r>
      <w:r w:rsidR="00320309" w:rsidRPr="00320309">
        <w:rPr>
          <w:i/>
        </w:rPr>
        <w:t xml:space="preserve"> est beaucoup plus petite que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 w:rsidR="00320309" w:rsidRPr="00871441">
        <w:rPr>
          <w:i/>
        </w:rPr>
        <w:t xml:space="preserve"> .</w:t>
      </w:r>
      <w:r w:rsidRPr="00871441">
        <w:rPr>
          <w:i/>
        </w:rPr>
        <w:t> »</w:t>
      </w:r>
    </w:p>
    <w:p w:rsidR="0033080F" w:rsidRDefault="0033080F" w:rsidP="00320309"/>
    <w:p w:rsidR="0033080F" w:rsidRDefault="00871441" w:rsidP="00320309">
      <w:pPr>
        <w:rPr>
          <w:rFonts w:eastAsiaTheme="minorEastAsia"/>
        </w:rPr>
      </w:pPr>
      <w:r>
        <w:t xml:space="preserve">Ce faisant, Héron écrit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&lt;720&lt;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puis encadre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720</m:t>
            </m:r>
          </m:e>
        </m:rad>
      </m:oMath>
      <w:r>
        <w:rPr>
          <w:rFonts w:eastAsiaTheme="minorEastAsia"/>
        </w:rPr>
        <w:t xml:space="preserve"> entre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720</m:t>
            </m:r>
          </m:num>
          <m:den>
            <m:r>
              <w:rPr>
                <w:rFonts w:ascii="Cambria Math" w:eastAsiaTheme="minorEastAsia" w:hAnsi="Cambria Math"/>
              </w:rPr>
              <m:t>27</m:t>
            </m:r>
          </m:den>
        </m:f>
        <m:r>
          <w:rPr>
            <w:rFonts w:ascii="Cambria Math" w:eastAsiaTheme="minorEastAsia" w:hAnsi="Cambria Math"/>
          </w:rPr>
          <m:t>=26+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7C4037">
        <w:rPr>
          <w:rFonts w:eastAsiaTheme="minorEastAsia"/>
        </w:rPr>
        <w:t xml:space="preserve"> et 27 dont il prend la moyenne, puis recommence. </w:t>
      </w:r>
    </w:p>
    <w:p w:rsidR="00871441" w:rsidRPr="00871441" w:rsidRDefault="007C4037" w:rsidP="00320309">
      <w:r>
        <w:rPr>
          <w:rFonts w:eastAsiaTheme="minorEastAsia"/>
        </w:rPr>
        <w:t xml:space="preserve">En traduction modern, il propose la suite itérative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n+1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720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=27.</m:t>
        </m:r>
      </m:oMath>
    </w:p>
    <w:p w:rsidR="001B1338" w:rsidRDefault="001B1338" w:rsidP="001B1338"/>
    <w:p w:rsidR="0033080F" w:rsidRDefault="0033080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3080F" w:rsidRPr="0033080F" w:rsidRDefault="0033080F" w:rsidP="001B1338">
      <w:pPr>
        <w:rPr>
          <w:b/>
          <w:u w:val="single"/>
        </w:rPr>
      </w:pPr>
      <w:r w:rsidRPr="0033080F">
        <w:rPr>
          <w:b/>
          <w:u w:val="single"/>
        </w:rPr>
        <w:lastRenderedPageBreak/>
        <w:t xml:space="preserve">ACTIVITÉ 2 : Irrationnalité de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u w:val="single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2</m:t>
            </m:r>
          </m:e>
        </m:rad>
      </m:oMath>
    </w:p>
    <w:p w:rsidR="0033080F" w:rsidRPr="00875D71" w:rsidRDefault="0033080F" w:rsidP="001B1338"/>
    <w:p w:rsidR="003F090A" w:rsidRDefault="003F090A" w:rsidP="001B1338">
      <w:pPr>
        <w:rPr>
          <w:rFonts w:eastAsiaTheme="minorEastAsia"/>
        </w:rPr>
      </w:pPr>
      <w:r>
        <w:rPr>
          <w:rStyle w:val="Appelnotedebasdep"/>
          <w:b/>
        </w:rPr>
        <w:footnoteReference w:id="5"/>
      </w:r>
      <w:r w:rsidR="007C4037" w:rsidRPr="007C4037">
        <w:rPr>
          <w:b/>
        </w:rPr>
        <w:t>Pythagore</w:t>
      </w:r>
      <w:r w:rsidR="007C4037">
        <w:t xml:space="preserve"> croyait que deux grandeurs étaient toujours </w:t>
      </w:r>
      <w:r w:rsidR="007C4037" w:rsidRPr="007C4037">
        <w:rPr>
          <w:b/>
        </w:rPr>
        <w:t>commensurables</w:t>
      </w:r>
      <w:r w:rsidR="007C4037">
        <w:t xml:space="preserve"> (c'est-à-dire, multiples d’une même longueur). Autrement dit, pour Pythagore, les grandeurs a et x sont commensurables, c'est-à-dire qu’il existe une grandeur y (longueur d’un segment) </w:t>
      </w:r>
      <w:r>
        <w:t xml:space="preserve">tel qu’il existe deux nombres entiers p et q pour lesquels : a = py et x = qy. Maintenant on dit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 xml:space="preserve"> est rationnel.</w:t>
      </w:r>
    </w:p>
    <w:p w:rsidR="003F090A" w:rsidRDefault="003F090A" w:rsidP="001B1338">
      <w:r>
        <w:t xml:space="preserve">Pythagore ne trouva pas de commune mesure entre le côté d’un carré et sa diagonale, il prouva qu’il n’en existait pas. En termes moderne,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 est le premier exemple de </w:t>
      </w:r>
      <w:r w:rsidRPr="003F090A">
        <w:rPr>
          <w:rFonts w:eastAsiaTheme="minorEastAsia"/>
          <w:b/>
        </w:rPr>
        <w:t>nombre irrationnel</w:t>
      </w:r>
      <w:r>
        <w:rPr>
          <w:rFonts w:eastAsiaTheme="minorEastAsia"/>
        </w:rPr>
        <w:t>.</w:t>
      </w:r>
    </w:p>
    <w:p w:rsidR="007C4037" w:rsidRDefault="007C4037" w:rsidP="001B1338"/>
    <w:p w:rsidR="008B0473" w:rsidRDefault="00D65651" w:rsidP="001B1338">
      <w:pPr>
        <w:rPr>
          <w:rFonts w:eastAsiaTheme="minorEastAsia"/>
        </w:rPr>
      </w:pPr>
      <w:r>
        <w:rPr>
          <w:rStyle w:val="Appelnotedebasdep"/>
        </w:rPr>
        <w:footnoteReference w:id="6"/>
      </w:r>
      <w:r w:rsidR="008B0473">
        <w:t xml:space="preserve">La Grèce antique connait l’irrationnalité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8B0473">
        <w:rPr>
          <w:rFonts w:eastAsiaTheme="minorEastAsia"/>
        </w:rPr>
        <w:t xml:space="preserve"> mais </w:t>
      </w:r>
      <w:r>
        <w:rPr>
          <w:rFonts w:eastAsiaTheme="minorEastAsia"/>
        </w:rPr>
        <w:t>cette démonstration est difficile à attribue</w:t>
      </w:r>
      <w:r w:rsidR="00AB324A">
        <w:rPr>
          <w:rFonts w:eastAsiaTheme="minorEastAsia"/>
        </w:rPr>
        <w:t>r et à dater.</w:t>
      </w:r>
    </w:p>
    <w:p w:rsidR="00D65651" w:rsidRDefault="00D65651" w:rsidP="001B1338">
      <w:r>
        <w:t xml:space="preserve">On trouve dans </w:t>
      </w:r>
      <w:r w:rsidRPr="00D65651">
        <w:rPr>
          <w:i/>
          <w:iCs/>
        </w:rPr>
        <w:t xml:space="preserve">Premiers Analytiques, </w:t>
      </w:r>
      <w:r w:rsidRPr="00D65651">
        <w:t xml:space="preserve">Livre II </w:t>
      </w:r>
      <w:r>
        <w:t>(</w:t>
      </w:r>
      <w:r w:rsidR="00402F42">
        <w:t>Aristote, philosophe</w:t>
      </w:r>
      <w:r>
        <w:t xml:space="preserve"> grec 384 av J.C. – 322 av J.C.) une référence à l’irrationnalité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 : </w:t>
      </w:r>
      <w:r w:rsidRPr="00D65651">
        <w:rPr>
          <w:rFonts w:eastAsiaTheme="minorEastAsia"/>
        </w:rPr>
        <w:t>« la diagonale du carré est incommensurable à ses côtés, ou cela supposerait que les nombres impairs soient pairs. »</w:t>
      </w:r>
    </w:p>
    <w:p w:rsidR="008B0473" w:rsidRDefault="008B0473" w:rsidP="001B1338"/>
    <w:p w:rsidR="00402F42" w:rsidRDefault="00402F42" w:rsidP="00402F42">
      <w:r w:rsidRPr="00402F42">
        <w:t>Par définition, un impair est la somme d’un pair et d’une unité</w:t>
      </w:r>
      <w:r>
        <w:t> : c’</w:t>
      </w:r>
      <w:r w:rsidRPr="00402F42">
        <w:t xml:space="preserve">est la définition 7 du livre VII des </w:t>
      </w:r>
      <w:r w:rsidRPr="00402F42">
        <w:rPr>
          <w:i/>
          <w:iCs/>
        </w:rPr>
        <w:t xml:space="preserve">Éléments </w:t>
      </w:r>
      <w:r w:rsidRPr="00402F42">
        <w:t>d’Euclide : « Un impair est un nombre (…) qui diffère d’une unité d’un</w:t>
      </w:r>
      <w:r>
        <w:t xml:space="preserve"> </w:t>
      </w:r>
      <w:r w:rsidRPr="00402F42">
        <w:t>nombre pair. »</w:t>
      </w:r>
    </w:p>
    <w:p w:rsidR="00402F42" w:rsidRDefault="00BD0D22" w:rsidP="0033080F">
      <w:pPr>
        <w:jc w:val="center"/>
      </w:pPr>
      <w:r>
        <w:rPr>
          <w:noProof/>
        </w:rPr>
        <w:drawing>
          <wp:inline distT="0" distB="0" distL="0" distR="0">
            <wp:extent cx="4064400" cy="2192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elnotedebasdep"/>
        </w:rPr>
        <w:footnoteReference w:id="7"/>
      </w:r>
    </w:p>
    <w:p w:rsidR="00BD0D22" w:rsidRDefault="00BD0D22" w:rsidP="00402F42"/>
    <w:p w:rsidR="0033080F" w:rsidRDefault="0033080F" w:rsidP="0033080F">
      <w:r>
        <w:t xml:space="preserve">Démontrer l’irrationnalité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>, par l’absurde en utilisant la parité.</w:t>
      </w:r>
    </w:p>
    <w:p w:rsidR="0033080F" w:rsidRDefault="0033080F" w:rsidP="00402F42"/>
    <w:p w:rsidR="00BD0D22" w:rsidRPr="009A5067" w:rsidRDefault="00BD0D22" w:rsidP="00402F42">
      <w:pPr>
        <w:rPr>
          <w:rFonts w:eastAsiaTheme="minorEastAsia"/>
          <w:b/>
          <w:u w:val="single"/>
        </w:rPr>
      </w:pPr>
      <w:r w:rsidRPr="009A5067">
        <w:rPr>
          <w:b/>
          <w:u w:val="single"/>
        </w:rPr>
        <w:t>Exemple d</w:t>
      </w:r>
      <w:r w:rsidR="009A5067" w:rsidRPr="009A5067">
        <w:rPr>
          <w:b/>
          <w:u w:val="single"/>
        </w:rPr>
        <w:t xml:space="preserve">’utilisation de l’irrationnalité de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u w:val="single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  <w:u w:val="single"/>
          </w:rPr>
          <m:t> </m:t>
        </m:r>
      </m:oMath>
      <w:r w:rsidR="009A5067" w:rsidRPr="009A5067">
        <w:rPr>
          <w:rFonts w:eastAsiaTheme="minorEastAsia"/>
          <w:b/>
          <w:u w:val="single"/>
        </w:rPr>
        <w:t>:</w:t>
      </w:r>
    </w:p>
    <w:p w:rsidR="0033080F" w:rsidRDefault="0033080F" w:rsidP="0033080F">
      <w:pPr>
        <w:rPr>
          <w:rFonts w:eastAsiaTheme="minorEastAsia"/>
        </w:rPr>
      </w:pPr>
      <w:r>
        <w:t xml:space="preserve">Dans </w:t>
      </w:r>
      <m:oMath>
        <m:r>
          <w:rPr>
            <w:rFonts w:ascii="Cambria Math" w:hAnsi="Cambria Math"/>
          </w:rPr>
          <m:t>(O;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,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 orthonormé, construire le cercle </w:t>
      </w:r>
      <w:r w:rsidRPr="00D158B8">
        <w:rPr>
          <w:rFonts w:ascii="EnglischeSchT" w:eastAsiaTheme="minorEastAsia" w:hAnsi="EnglischeSchT"/>
        </w:rPr>
        <w:t>C</w:t>
      </w:r>
      <w:r>
        <w:rPr>
          <w:rFonts w:eastAsiaTheme="minorEastAsia"/>
        </w:rPr>
        <w:t xml:space="preserve"> de centre (1,5 ;0) et de diamètre 3.</w:t>
      </w:r>
    </w:p>
    <w:p w:rsidR="0033080F" w:rsidRDefault="0033080F" w:rsidP="0033080F">
      <w:r>
        <w:t>Soit H le point de coordonnées (1 ;0). Construire la perpendiculaire à l’axe des abscisses qui passe par H : d.</w:t>
      </w:r>
    </w:p>
    <w:p w:rsidR="0033080F" w:rsidRDefault="0033080F" w:rsidP="0033080F">
      <w:r>
        <w:t xml:space="preserve">Soit A le point d’intersection de d et </w:t>
      </w:r>
      <w:r w:rsidRPr="002F1040">
        <w:rPr>
          <w:rFonts w:ascii="EnglischeSchT" w:hAnsi="EnglischeSchT"/>
        </w:rPr>
        <w:t>C</w:t>
      </w:r>
      <w:r>
        <w:t>, d’ordonnée positive.</w:t>
      </w:r>
    </w:p>
    <w:p w:rsidR="009A5067" w:rsidRDefault="009A5067" w:rsidP="00402F42">
      <w:r>
        <w:t xml:space="preserve">Montrer que (OA) ne possède que le point O comme point à coordonnées entières. </w:t>
      </w:r>
    </w:p>
    <w:p w:rsidR="00E2452D" w:rsidRDefault="00E2452D" w:rsidP="00402F42"/>
    <w:p w:rsidR="00E2452D" w:rsidRDefault="00E2452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602B7" w:rsidRDefault="00E602B7" w:rsidP="00402F42">
      <w:pPr>
        <w:rPr>
          <w:b/>
          <w:u w:val="single"/>
        </w:rPr>
        <w:sectPr w:rsidR="00E602B7" w:rsidSect="00885FF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2452D" w:rsidRDefault="00E602B7" w:rsidP="00402F4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CB4CE6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3905250" cy="6143625"/>
            <wp:effectExtent l="0" t="0" r="0" b="9525"/>
            <wp:wrapThrough wrapText="bothSides">
              <wp:wrapPolygon edited="0">
                <wp:start x="0" y="0"/>
                <wp:lineTo x="0" y="21567"/>
                <wp:lineTo x="21495" y="21567"/>
                <wp:lineTo x="21495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52D" w:rsidRPr="00E2452D">
        <w:rPr>
          <w:b/>
          <w:u w:val="single"/>
        </w:rPr>
        <w:t>Pour aller plus loin</w:t>
      </w:r>
      <w:r w:rsidR="00E2452D">
        <w:t xml:space="preserve"> : Descartes : La géométrie Livre Ier : </w:t>
      </w:r>
      <w:r>
        <w:rPr>
          <w:rStyle w:val="Appelnotedebasdep"/>
        </w:rPr>
        <w:footnoteReference w:id="8"/>
      </w:r>
    </w:p>
    <w:p w:rsidR="00E602B7" w:rsidRDefault="00E602B7" w:rsidP="00402F42">
      <w:r>
        <w:rPr>
          <w:noProof/>
        </w:rPr>
        <w:t xml:space="preserve">                               </w:t>
      </w:r>
    </w:p>
    <w:p w:rsidR="00E2452D" w:rsidRDefault="00E602B7" w:rsidP="00402F4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125095</wp:posOffset>
            </wp:positionV>
            <wp:extent cx="3867150" cy="5810250"/>
            <wp:effectExtent l="0" t="0" r="0" b="0"/>
            <wp:wrapThrough wrapText="bothSides">
              <wp:wrapPolygon edited="0">
                <wp:start x="0" y="0"/>
                <wp:lineTo x="0" y="21529"/>
                <wp:lineTo x="21494" y="21529"/>
                <wp:lineTo x="21494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2452D" w:rsidSect="00E602B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DF8" w:rsidRDefault="00E24DF8" w:rsidP="009A246D">
      <w:r>
        <w:separator/>
      </w:r>
    </w:p>
  </w:endnote>
  <w:endnote w:type="continuationSeparator" w:id="0">
    <w:p w:rsidR="00E24DF8" w:rsidRDefault="00E24DF8" w:rsidP="009A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nglischeSchT">
    <w:altName w:val="Calibri"/>
    <w:charset w:val="00"/>
    <w:family w:val="script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DF8" w:rsidRDefault="00E24DF8" w:rsidP="009A246D">
      <w:r>
        <w:separator/>
      </w:r>
    </w:p>
  </w:footnote>
  <w:footnote w:type="continuationSeparator" w:id="0">
    <w:p w:rsidR="00E24DF8" w:rsidRDefault="00E24DF8" w:rsidP="009A246D">
      <w:r>
        <w:continuationSeparator/>
      </w:r>
    </w:p>
  </w:footnote>
  <w:footnote w:id="1">
    <w:p w:rsidR="001B1338" w:rsidRPr="00871441" w:rsidRDefault="001B1338">
      <w:pPr>
        <w:pStyle w:val="Notedebasdepage"/>
        <w:rPr>
          <w:rFonts w:ascii="Times New Roman" w:hAnsi="Times New Roman" w:cs="Times New Roman"/>
        </w:rPr>
      </w:pPr>
      <w:r w:rsidRPr="00871441">
        <w:rPr>
          <w:rStyle w:val="Appelnotedebasdep"/>
          <w:rFonts w:ascii="Times New Roman" w:hAnsi="Times New Roman" w:cs="Times New Roman"/>
        </w:rPr>
        <w:footnoteRef/>
      </w:r>
      <w:r w:rsidRPr="00871441">
        <w:rPr>
          <w:rFonts w:ascii="Times New Roman" w:hAnsi="Times New Roman" w:cs="Times New Roman"/>
        </w:rPr>
        <w:t xml:space="preserve"> </w:t>
      </w:r>
      <w:hyperlink r:id="rId1" w:history="1">
        <w:r w:rsidRPr="00871441">
          <w:rPr>
            <w:rStyle w:val="Lienhypertexte"/>
            <w:rFonts w:ascii="Times New Roman" w:hAnsi="Times New Roman" w:cs="Times New Roman"/>
          </w:rPr>
          <w:t>https://math.berkeley.edu/~lpachter/128a/Babylonian_sqrt2.pdf</w:t>
        </w:r>
      </w:hyperlink>
    </w:p>
  </w:footnote>
  <w:footnote w:id="2">
    <w:p w:rsidR="001B1338" w:rsidRPr="00871441" w:rsidRDefault="001B1338" w:rsidP="001B1338">
      <w:pPr>
        <w:pStyle w:val="Commentaire"/>
        <w:rPr>
          <w:rFonts w:ascii="Times New Roman" w:hAnsi="Times New Roman" w:cs="Times New Roman"/>
          <w:lang w:val="en-US"/>
        </w:rPr>
      </w:pPr>
      <w:r w:rsidRPr="00871441">
        <w:rPr>
          <w:rStyle w:val="Appelnotedebasdep"/>
          <w:rFonts w:ascii="Times New Roman" w:hAnsi="Times New Roman" w:cs="Times New Roman"/>
        </w:rPr>
        <w:footnoteRef/>
      </w:r>
      <w:r w:rsidRPr="00871441">
        <w:rPr>
          <w:rFonts w:ascii="Times New Roman" w:hAnsi="Times New Roman" w:cs="Times New Roman"/>
          <w:lang w:val="en-US"/>
        </w:rPr>
        <w:t xml:space="preserve"> Square root Approximations in old Babylonian Mathematics : YBC7289 in context – D.FOWLER – E.ROBSON.</w:t>
      </w:r>
    </w:p>
  </w:footnote>
  <w:footnote w:id="3">
    <w:p w:rsidR="009A246D" w:rsidRPr="00871441" w:rsidRDefault="009A246D">
      <w:pPr>
        <w:pStyle w:val="Notedebasdepage"/>
        <w:rPr>
          <w:rFonts w:ascii="Times New Roman" w:hAnsi="Times New Roman" w:cs="Times New Roman"/>
        </w:rPr>
      </w:pPr>
      <w:r w:rsidRPr="00871441">
        <w:rPr>
          <w:rStyle w:val="Appelnotedebasdep"/>
          <w:rFonts w:ascii="Times New Roman" w:hAnsi="Times New Roman" w:cs="Times New Roman"/>
        </w:rPr>
        <w:footnoteRef/>
      </w:r>
      <w:r w:rsidRPr="00871441">
        <w:rPr>
          <w:rFonts w:ascii="Times New Roman" w:hAnsi="Times New Roman" w:cs="Times New Roman"/>
        </w:rPr>
        <w:t xml:space="preserve"> Des </w:t>
      </w:r>
      <w:r w:rsidR="001B1338" w:rsidRPr="00871441">
        <w:rPr>
          <w:rFonts w:ascii="Times New Roman" w:hAnsi="Times New Roman" w:cs="Times New Roman"/>
        </w:rPr>
        <w:t>mathématiciens</w:t>
      </w:r>
      <w:r w:rsidRPr="00871441">
        <w:rPr>
          <w:rFonts w:ascii="Times New Roman" w:hAnsi="Times New Roman" w:cs="Times New Roman"/>
        </w:rPr>
        <w:t xml:space="preserve"> de A à Z (B.HAUCHECORNE – D.SURATTEAU – Ellipses)</w:t>
      </w:r>
    </w:p>
  </w:footnote>
  <w:footnote w:id="4">
    <w:p w:rsidR="00871441" w:rsidRPr="003F090A" w:rsidRDefault="00871441" w:rsidP="00871441">
      <w:pPr>
        <w:rPr>
          <w:rFonts w:ascii="Times New Roman" w:eastAsia="Times New Roman" w:hAnsi="Times New Roman" w:cs="Times New Roman"/>
          <w:lang w:eastAsia="fr-FR"/>
        </w:rPr>
      </w:pPr>
      <w:r w:rsidRPr="003F090A">
        <w:rPr>
          <w:rStyle w:val="Appelnotedebasdep"/>
          <w:rFonts w:ascii="Times New Roman" w:hAnsi="Times New Roman" w:cs="Times New Roman"/>
        </w:rPr>
        <w:footnoteRef/>
      </w:r>
      <w:r w:rsidRPr="003F090A">
        <w:rPr>
          <w:rFonts w:ascii="Times New Roman" w:hAnsi="Times New Roman" w:cs="Times New Roman"/>
        </w:rPr>
        <w:t xml:space="preserve"> </w:t>
      </w:r>
      <w:r w:rsidRPr="003F090A">
        <w:rPr>
          <w:rFonts w:ascii="Times New Roman" w:eastAsia="Times New Roman" w:hAnsi="Times New Roman" w:cs="Times New Roman"/>
          <w:lang w:eastAsia="fr-FR"/>
        </w:rPr>
        <w:t>Mathématiques L1 : cours complet avec fiches de révision, 1000 tests et exercices corrigés / sous la direction de Jean-Pierre Marco, Laurent Lazzarini ; [par] Hassan Boualem, Robert Brouzet, Adrien Deloro... [et al.]. - 2e édition</w:t>
      </w:r>
    </w:p>
  </w:footnote>
  <w:footnote w:id="5">
    <w:p w:rsidR="003F090A" w:rsidRPr="003F090A" w:rsidRDefault="003F090A">
      <w:pPr>
        <w:pStyle w:val="Notedebasdepage"/>
        <w:rPr>
          <w:rFonts w:ascii="Times New Roman" w:hAnsi="Times New Roman" w:cs="Times New Roman"/>
        </w:rPr>
      </w:pPr>
      <w:r w:rsidRPr="003F090A">
        <w:rPr>
          <w:rStyle w:val="Appelnotedebasdep"/>
          <w:rFonts w:ascii="Times New Roman" w:hAnsi="Times New Roman" w:cs="Times New Roman"/>
        </w:rPr>
        <w:footnoteRef/>
      </w:r>
      <w:r w:rsidRPr="003F090A">
        <w:rPr>
          <w:rFonts w:ascii="Times New Roman" w:hAnsi="Times New Roman" w:cs="Times New Roman"/>
        </w:rPr>
        <w:t xml:space="preserve"> Les équations algébriques – Tangente HS n°22.</w:t>
      </w:r>
    </w:p>
  </w:footnote>
  <w:footnote w:id="6">
    <w:p w:rsidR="00D65651" w:rsidRPr="00D65651" w:rsidRDefault="00D65651">
      <w:pPr>
        <w:pStyle w:val="Notedebasdepage"/>
        <w:rPr>
          <w:rFonts w:ascii="Times New Roman" w:hAnsi="Times New Roman" w:cs="Times New Roman"/>
        </w:rPr>
      </w:pPr>
      <w:r w:rsidRPr="00D65651">
        <w:rPr>
          <w:rStyle w:val="Appelnotedebasdep"/>
          <w:rFonts w:ascii="Times New Roman" w:hAnsi="Times New Roman" w:cs="Times New Roman"/>
        </w:rPr>
        <w:footnoteRef/>
      </w:r>
      <w:r w:rsidRPr="00D65651">
        <w:rPr>
          <w:rFonts w:ascii="Times New Roman" w:hAnsi="Times New Roman" w:cs="Times New Roman"/>
        </w:rPr>
        <w:t xml:space="preserve"> http://serge.mehl.free.fr/chrono/Aristote.html</w:t>
      </w:r>
    </w:p>
  </w:footnote>
  <w:footnote w:id="7">
    <w:p w:rsidR="00BD0D22" w:rsidRPr="00BD0D22" w:rsidRDefault="00BD0D22">
      <w:pPr>
        <w:pStyle w:val="Notedebasdepage"/>
        <w:rPr>
          <w:rFonts w:ascii="Times New Roman" w:hAnsi="Times New Roman" w:cs="Times New Roman"/>
        </w:rPr>
      </w:pPr>
      <w:r w:rsidRPr="00BD0D22">
        <w:rPr>
          <w:rStyle w:val="Appelnotedebasdep"/>
          <w:rFonts w:ascii="Times New Roman" w:hAnsi="Times New Roman" w:cs="Times New Roman"/>
        </w:rPr>
        <w:footnoteRef/>
      </w:r>
      <w:r w:rsidRPr="00BD0D22">
        <w:rPr>
          <w:rFonts w:ascii="Times New Roman" w:hAnsi="Times New Roman" w:cs="Times New Roman"/>
        </w:rPr>
        <w:t xml:space="preserve"> https://gallica.bnf.fr/ark:/12148/bpt6k68013g/f253.item</w:t>
      </w:r>
    </w:p>
  </w:footnote>
  <w:footnote w:id="8">
    <w:p w:rsidR="00E602B7" w:rsidRDefault="00E602B7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602B7">
        <w:t>https://gallica.bnf.fr/ark:/12148/btv1b86069594/f381.double.r=La+G%C3%A9om%C3%A9trie+Descartes+1637.shift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B651D"/>
    <w:multiLevelType w:val="hybridMultilevel"/>
    <w:tmpl w:val="23D89F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94"/>
    <w:rsid w:val="000453D7"/>
    <w:rsid w:val="00097A69"/>
    <w:rsid w:val="00130B94"/>
    <w:rsid w:val="0016014D"/>
    <w:rsid w:val="001B1338"/>
    <w:rsid w:val="001D5EA0"/>
    <w:rsid w:val="002514D3"/>
    <w:rsid w:val="00257E56"/>
    <w:rsid w:val="00320309"/>
    <w:rsid w:val="003220C5"/>
    <w:rsid w:val="0033080F"/>
    <w:rsid w:val="003A41D3"/>
    <w:rsid w:val="003F090A"/>
    <w:rsid w:val="00402F42"/>
    <w:rsid w:val="00472BE4"/>
    <w:rsid w:val="00477F5F"/>
    <w:rsid w:val="004962F1"/>
    <w:rsid w:val="004E0ECE"/>
    <w:rsid w:val="004F109A"/>
    <w:rsid w:val="00525A94"/>
    <w:rsid w:val="005C5372"/>
    <w:rsid w:val="005C6972"/>
    <w:rsid w:val="00774179"/>
    <w:rsid w:val="007C4037"/>
    <w:rsid w:val="0080123E"/>
    <w:rsid w:val="00832EEA"/>
    <w:rsid w:val="00871441"/>
    <w:rsid w:val="00875D71"/>
    <w:rsid w:val="00885FFC"/>
    <w:rsid w:val="00894FAE"/>
    <w:rsid w:val="008B0473"/>
    <w:rsid w:val="0095133A"/>
    <w:rsid w:val="00986C27"/>
    <w:rsid w:val="00993BC4"/>
    <w:rsid w:val="009A246D"/>
    <w:rsid w:val="009A5067"/>
    <w:rsid w:val="00A90B5A"/>
    <w:rsid w:val="00AB324A"/>
    <w:rsid w:val="00AD3979"/>
    <w:rsid w:val="00AF7EFC"/>
    <w:rsid w:val="00B125B7"/>
    <w:rsid w:val="00B93A62"/>
    <w:rsid w:val="00B955FB"/>
    <w:rsid w:val="00BA32A3"/>
    <w:rsid w:val="00BD0D22"/>
    <w:rsid w:val="00CA7476"/>
    <w:rsid w:val="00CD3802"/>
    <w:rsid w:val="00D65651"/>
    <w:rsid w:val="00DD0101"/>
    <w:rsid w:val="00DD4063"/>
    <w:rsid w:val="00E2452D"/>
    <w:rsid w:val="00E24DF8"/>
    <w:rsid w:val="00E459F4"/>
    <w:rsid w:val="00E602B7"/>
    <w:rsid w:val="00E77F52"/>
    <w:rsid w:val="00F2326B"/>
    <w:rsid w:val="00F419BD"/>
    <w:rsid w:val="00F43665"/>
    <w:rsid w:val="00F541BA"/>
    <w:rsid w:val="00F57845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ED4B"/>
  <w15:chartTrackingRefBased/>
  <w15:docId w15:val="{0496EC99-13E5-4579-ADC3-D87058AD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notranslate">
    <w:name w:val="notranslate"/>
    <w:basedOn w:val="Policepardfaut"/>
    <w:rsid w:val="00525A94"/>
  </w:style>
  <w:style w:type="character" w:styleId="Marquedecommentaire">
    <w:name w:val="annotation reference"/>
    <w:basedOn w:val="Policepardfaut"/>
    <w:uiPriority w:val="99"/>
    <w:semiHidden/>
    <w:unhideWhenUsed/>
    <w:rsid w:val="00525A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25A94"/>
  </w:style>
  <w:style w:type="character" w:customStyle="1" w:styleId="CommentaireCar">
    <w:name w:val="Commentaire Car"/>
    <w:basedOn w:val="Policepardfaut"/>
    <w:link w:val="Commentaire"/>
    <w:uiPriority w:val="99"/>
    <w:rsid w:val="00525A9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5A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5A9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5A9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A9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94FA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4FA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459F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5372"/>
    <w:rPr>
      <w:color w:val="808080"/>
    </w:rPr>
  </w:style>
  <w:style w:type="paragraph" w:customStyle="1" w:styleId="Default">
    <w:name w:val="Default"/>
    <w:rsid w:val="009A246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9A246D"/>
  </w:style>
  <w:style w:type="character" w:customStyle="1" w:styleId="NotedebasdepageCar">
    <w:name w:val="Note de bas de page Car"/>
    <w:basedOn w:val="Policepardfaut"/>
    <w:link w:val="Notedebasdepage"/>
    <w:uiPriority w:val="99"/>
    <w:rsid w:val="009A246D"/>
  </w:style>
  <w:style w:type="character" w:styleId="Appelnotedebasdep">
    <w:name w:val="footnote reference"/>
    <w:basedOn w:val="Policepardfaut"/>
    <w:uiPriority w:val="99"/>
    <w:semiHidden/>
    <w:unhideWhenUsed/>
    <w:rsid w:val="009A246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656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acine">
    <w:name w:val="racine"/>
    <w:basedOn w:val="Policepardfaut"/>
    <w:rsid w:val="00D65651"/>
  </w:style>
  <w:style w:type="character" w:customStyle="1" w:styleId="citecrochet">
    <w:name w:val="cite_crochet"/>
    <w:basedOn w:val="Policepardfaut"/>
    <w:rsid w:val="00D65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ath.berkeley.edu/~lpachter/128a/Babylonian_sqrt2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3FDB4-1020-4457-9811-CC1298D01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1001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TEULIE</dc:creator>
  <cp:keywords/>
  <dc:description/>
  <cp:lastModifiedBy>Benoit Lafargue</cp:lastModifiedBy>
  <cp:revision>3</cp:revision>
  <dcterms:created xsi:type="dcterms:W3CDTF">2019-05-31T13:23:00Z</dcterms:created>
  <dcterms:modified xsi:type="dcterms:W3CDTF">2020-03-04T18:12:00Z</dcterms:modified>
</cp:coreProperties>
</file>