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28D" w:rsidRPr="00F1328D" w:rsidRDefault="00C85CD2" w:rsidP="00F1328D">
      <w:r>
        <w:rPr>
          <w:noProof/>
        </w:rPr>
        <w:drawing>
          <wp:anchor distT="0" distB="0" distL="114300" distR="114300" simplePos="0" relativeHeight="251659776" behindDoc="0" locked="0" layoutInCell="1" allowOverlap="1" wp14:anchorId="37D26C81">
            <wp:simplePos x="0" y="0"/>
            <wp:positionH relativeFrom="column">
              <wp:posOffset>4010025</wp:posOffset>
            </wp:positionH>
            <wp:positionV relativeFrom="paragraph">
              <wp:posOffset>180975</wp:posOffset>
            </wp:positionV>
            <wp:extent cx="2713355" cy="1807845"/>
            <wp:effectExtent l="0" t="0" r="0" b="1905"/>
            <wp:wrapThrough wrapText="bothSides">
              <wp:wrapPolygon edited="0">
                <wp:start x="0" y="0"/>
                <wp:lineTo x="0" y="21395"/>
                <wp:lineTo x="21383" y="21395"/>
                <wp:lineTo x="21383" y="0"/>
                <wp:lineTo x="0" y="0"/>
              </wp:wrapPolygon>
            </wp:wrapThrough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28D" w:rsidRDefault="00405786">
      <w:pPr>
        <w:rPr>
          <w:lang w:val="en-US"/>
        </w:rPr>
      </w:pPr>
      <w:r w:rsidRPr="00CE1731"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543050" cy="2512060"/>
            <wp:effectExtent l="0" t="0" r="0" b="2540"/>
            <wp:wrapTight wrapText="bothSides">
              <wp:wrapPolygon edited="0">
                <wp:start x="0" y="0"/>
                <wp:lineTo x="0" y="21458"/>
                <wp:lineTo x="21333" y="21458"/>
                <wp:lineTo x="2133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731">
        <w:rPr>
          <w:b/>
          <w:lang w:val="en-US"/>
        </w:rPr>
        <w:t>Khwarizmi Mohammed ibn Mousa Al</w:t>
      </w:r>
      <w:r w:rsidRPr="00405786">
        <w:rPr>
          <w:lang w:val="en-US"/>
        </w:rPr>
        <w:t xml:space="preserve"> (</w:t>
      </w:r>
      <w:r>
        <w:rPr>
          <w:lang w:val="en-US"/>
        </w:rPr>
        <w:t xml:space="preserve">Bagdad </w:t>
      </w:r>
      <w:r w:rsidRPr="00CE1731">
        <w:rPr>
          <w:b/>
          <w:lang w:val="en-US"/>
        </w:rPr>
        <w:t>788-850</w:t>
      </w:r>
      <w:r>
        <w:rPr>
          <w:lang w:val="en-US"/>
        </w:rPr>
        <w:t>).</w:t>
      </w:r>
      <w:r w:rsidR="00C85CD2" w:rsidRPr="00C85CD2">
        <w:rPr>
          <w:noProof/>
          <w:lang w:val="en-US"/>
        </w:rPr>
        <w:t xml:space="preserve"> </w:t>
      </w:r>
    </w:p>
    <w:p w:rsidR="00CE1731" w:rsidRDefault="00405786">
      <w:r w:rsidRPr="00405786">
        <w:t>L’</w:t>
      </w:r>
      <w:r w:rsidR="00CE1731" w:rsidRPr="00405786">
        <w:t>œuvre</w:t>
      </w:r>
      <w:r w:rsidRPr="00405786">
        <w:t xml:space="preserve"> d</w:t>
      </w:r>
      <w:r w:rsidR="00350A2F">
        <w:t>’</w:t>
      </w:r>
      <w:bookmarkStart w:id="0" w:name="_GoBack"/>
      <w:bookmarkEnd w:id="0"/>
      <w:r w:rsidRPr="00405786">
        <w:t>Al Khwarizmi est p</w:t>
      </w:r>
      <w:r>
        <w:t>rincipalement exposé dans 2 livres : Kitab al jabr w’al muqabalah (livre de la remise en place et de la simplification) (copie de la première page ci-contre) et Algorithmi de numero indorum (</w:t>
      </w:r>
      <w:r w:rsidR="00CE1731">
        <w:t>seule</w:t>
      </w:r>
      <w:r>
        <w:t xml:space="preserve"> la traduction latine est disponible</w:t>
      </w:r>
      <w:r w:rsidR="00CE1731">
        <w:t xml:space="preserve">, ouvrage où il traite de l’utilisation de la numération indienne, </w:t>
      </w:r>
      <w:r w:rsidR="00CE1731" w:rsidRPr="00CE1731">
        <w:t>un système de numération positionnel à base dix (utilisant dix symboles).</w:t>
      </w:r>
    </w:p>
    <w:p w:rsidR="00CE1731" w:rsidRPr="00CE1731" w:rsidRDefault="00CE1731" w:rsidP="00CE1731">
      <w:r w:rsidRPr="00CE1731">
        <w:t>Al-Khwarismi classe les équations de degré inférieur ou égal à deux en six types (où tous les coefficients sont strictement positifs)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1743"/>
      </w:tblGrid>
      <w:tr w:rsidR="0072792A" w:rsidRPr="00CE1731" w:rsidTr="0072792A">
        <w:tc>
          <w:tcPr>
            <w:tcW w:w="4990" w:type="dxa"/>
            <w:hideMark/>
          </w:tcPr>
          <w:p w:rsidR="0072792A" w:rsidRPr="00CE1731" w:rsidRDefault="0072792A" w:rsidP="00CE1731">
            <w:r>
              <w:t>« </w:t>
            </w:r>
            <w:r w:rsidRPr="00CE1731">
              <w:t xml:space="preserve">Des carrés sont égaux à des racines </w:t>
            </w:r>
          </w:p>
        </w:tc>
        <w:tc>
          <w:tcPr>
            <w:tcW w:w="1743" w:type="dxa"/>
            <w:tcBorders>
              <w:top w:val="nil"/>
              <w:left w:val="single" w:sz="6" w:space="0" w:color="auto"/>
              <w:bottom w:val="nil"/>
            </w:tcBorders>
          </w:tcPr>
          <w:p w:rsidR="0072792A" w:rsidRPr="00CE1731" w:rsidRDefault="0072792A" w:rsidP="00CE1731"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=bx</m:t>
                </m:r>
              </m:oMath>
            </m:oMathPara>
          </w:p>
        </w:tc>
      </w:tr>
      <w:tr w:rsidR="0072792A" w:rsidRPr="00CE1731" w:rsidTr="0069393C">
        <w:tc>
          <w:tcPr>
            <w:tcW w:w="4990" w:type="dxa"/>
            <w:hideMark/>
          </w:tcPr>
          <w:p w:rsidR="0072792A" w:rsidRPr="00CE1731" w:rsidRDefault="0072792A" w:rsidP="00CE1731">
            <w:r w:rsidRPr="00CE1731">
              <w:t>Des carrés sont égaux à un nombre</w:t>
            </w:r>
          </w:p>
        </w:tc>
        <w:tc>
          <w:tcPr>
            <w:tcW w:w="1743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:rsidR="0072792A" w:rsidRPr="00CE1731" w:rsidRDefault="00A83BC2" w:rsidP="00CE1731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=c</m:t>
                </m:r>
              </m:oMath>
            </m:oMathPara>
          </w:p>
        </w:tc>
      </w:tr>
      <w:tr w:rsidR="0072792A" w:rsidRPr="00CE1731" w:rsidTr="00CC132F">
        <w:tc>
          <w:tcPr>
            <w:tcW w:w="4990" w:type="dxa"/>
            <w:hideMark/>
          </w:tcPr>
          <w:p w:rsidR="0072792A" w:rsidRPr="00CE1731" w:rsidRDefault="0072792A" w:rsidP="00CE1731">
            <w:r w:rsidRPr="00CE1731">
              <w:t>Des racines sont égales à un nombre</w:t>
            </w:r>
          </w:p>
        </w:tc>
        <w:tc>
          <w:tcPr>
            <w:tcW w:w="1743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:rsidR="0072792A" w:rsidRPr="00CE1731" w:rsidRDefault="0072792A" w:rsidP="00CE1731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bx=c</m:t>
                </m:r>
              </m:oMath>
            </m:oMathPara>
          </w:p>
        </w:tc>
      </w:tr>
      <w:tr w:rsidR="0072792A" w:rsidRPr="00CE1731" w:rsidTr="00D724F7">
        <w:tc>
          <w:tcPr>
            <w:tcW w:w="4990" w:type="dxa"/>
            <w:hideMark/>
          </w:tcPr>
          <w:p w:rsidR="0072792A" w:rsidRPr="00CE1731" w:rsidRDefault="0072792A" w:rsidP="00CE1731">
            <w:r w:rsidRPr="00CE1731">
              <w:t>Des carrés et des racines sont égaux à un nombre</w:t>
            </w:r>
          </w:p>
        </w:tc>
        <w:tc>
          <w:tcPr>
            <w:tcW w:w="1743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:rsidR="0072792A" w:rsidRPr="00CE1731" w:rsidRDefault="0072792A" w:rsidP="00CE1731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+bx=c</m:t>
                </m:r>
              </m:oMath>
            </m:oMathPara>
          </w:p>
        </w:tc>
      </w:tr>
      <w:tr w:rsidR="0072792A" w:rsidRPr="00CE1731" w:rsidTr="002F12CD">
        <w:tc>
          <w:tcPr>
            <w:tcW w:w="4990" w:type="dxa"/>
            <w:hideMark/>
          </w:tcPr>
          <w:p w:rsidR="0072792A" w:rsidRPr="00CE1731" w:rsidRDefault="0072792A" w:rsidP="00CE1731">
            <w:r w:rsidRPr="00CE1731">
              <w:t>Des carrés et un nombre sont égaux à des racines</w:t>
            </w:r>
          </w:p>
        </w:tc>
        <w:tc>
          <w:tcPr>
            <w:tcW w:w="1743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:rsidR="0072792A" w:rsidRPr="00CE1731" w:rsidRDefault="0072792A" w:rsidP="00CE1731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+c=bx</m:t>
                </m:r>
              </m:oMath>
            </m:oMathPara>
          </w:p>
        </w:tc>
      </w:tr>
      <w:tr w:rsidR="0072792A" w:rsidRPr="00CE1731" w:rsidTr="00123006">
        <w:tc>
          <w:tcPr>
            <w:tcW w:w="4990" w:type="dxa"/>
            <w:hideMark/>
          </w:tcPr>
          <w:p w:rsidR="0072792A" w:rsidRPr="00CE1731" w:rsidRDefault="0072792A" w:rsidP="00CE1731">
            <w:r w:rsidRPr="00CE1731">
              <w:t>Des racines et un nombre sont égaux à des carrés »</w:t>
            </w:r>
          </w:p>
        </w:tc>
        <w:tc>
          <w:tcPr>
            <w:tcW w:w="1743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:rsidR="0072792A" w:rsidRPr="00CE1731" w:rsidRDefault="0072792A" w:rsidP="00CE1731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bx+c=ax²</m:t>
                </m:r>
              </m:oMath>
            </m:oMathPara>
          </w:p>
        </w:tc>
      </w:tr>
    </w:tbl>
    <w:p w:rsidR="0072792A" w:rsidRPr="0072792A" w:rsidRDefault="0072792A" w:rsidP="0072792A">
      <w:r w:rsidRPr="0072792A">
        <w:t>Par ailleurs, il traite les calculs sur les équations essentiellement à l’aide de trois procédés :</w:t>
      </w:r>
    </w:p>
    <w:p w:rsidR="0072792A" w:rsidRDefault="0072792A" w:rsidP="0072792A">
      <w:pPr>
        <w:pStyle w:val="Paragraphedeliste"/>
        <w:numPr>
          <w:ilvl w:val="0"/>
          <w:numId w:val="1"/>
        </w:numPr>
      </w:pPr>
      <w:r>
        <w:t>dirham : constante</w:t>
      </w:r>
    </w:p>
    <w:p w:rsidR="0072792A" w:rsidRDefault="0072792A" w:rsidP="0072792A">
      <w:pPr>
        <w:pStyle w:val="Paragraphedeliste"/>
        <w:numPr>
          <w:ilvl w:val="0"/>
          <w:numId w:val="1"/>
        </w:numPr>
      </w:pPr>
      <w:r>
        <w:t>mâl : le carré</w:t>
      </w:r>
    </w:p>
    <w:p w:rsidR="0072792A" w:rsidRDefault="0072792A" w:rsidP="0072792A">
      <w:pPr>
        <w:pStyle w:val="Paragraphedeliste"/>
        <w:numPr>
          <w:ilvl w:val="0"/>
          <w:numId w:val="1"/>
        </w:numPr>
      </w:pPr>
      <w:r>
        <w:t>chei ou shay : l’inconue (la chose)</w:t>
      </w:r>
    </w:p>
    <w:p w:rsidR="0072792A" w:rsidRPr="0072792A" w:rsidRDefault="0072792A" w:rsidP="0072792A">
      <w:pPr>
        <w:pStyle w:val="Paragraphedeliste"/>
        <w:numPr>
          <w:ilvl w:val="0"/>
          <w:numId w:val="1"/>
        </w:numPr>
      </w:pPr>
      <w:r w:rsidRPr="0072792A">
        <w:t>al-Jabr</w:t>
      </w:r>
      <w:r w:rsidRPr="0072792A">
        <w:rPr>
          <w:vertAlign w:val="superscript"/>
        </w:rPr>
        <w:t> </w:t>
      </w:r>
      <w:r>
        <w:t xml:space="preserve">: déplacement de terme : </w:t>
      </w:r>
      <w:r w:rsidRPr="0072792A">
        <w:t>consiste, lorsque l’un des membres d’une équation comporte un terme à soustraire, à l’ajouter dans l’autre membre;</w:t>
      </w:r>
    </w:p>
    <w:p w:rsidR="0072792A" w:rsidRPr="0072792A" w:rsidRDefault="0072792A" w:rsidP="0072792A">
      <w:pPr>
        <w:pStyle w:val="Paragraphedeliste"/>
        <w:numPr>
          <w:ilvl w:val="0"/>
          <w:numId w:val="1"/>
        </w:numPr>
      </w:pPr>
      <w:r w:rsidRPr="0072792A">
        <w:t>al-Muqàbala</w:t>
      </w:r>
      <w:r>
        <w:t xml:space="preserve"> : réduction : </w:t>
      </w:r>
      <w:r w:rsidRPr="0072792A">
        <w:t>consiste à réduire les termes semblables de part et d’autre;</w:t>
      </w:r>
    </w:p>
    <w:p w:rsidR="0072792A" w:rsidRPr="0072792A" w:rsidRDefault="0072792A" w:rsidP="0072792A">
      <w:pPr>
        <w:pStyle w:val="Paragraphedeliste"/>
        <w:numPr>
          <w:ilvl w:val="0"/>
          <w:numId w:val="1"/>
        </w:numPr>
      </w:pPr>
      <w:r w:rsidRPr="0072792A">
        <w:t>al-Hatt</w:t>
      </w:r>
      <w:r>
        <w:t xml:space="preserve"> : </w:t>
      </w:r>
      <w:r w:rsidRPr="0072792A">
        <w:t>consiste à diviser les deux membres par un même nombre.</w:t>
      </w:r>
    </w:p>
    <w:p w:rsidR="00CE1731" w:rsidRDefault="0072792A">
      <w:r>
        <w:t>Influencé par la géométrie euclidienne et les modes de résolution purement géométrique des grecs, il propose avec ses calculs algébriques une représentation géométrique.</w:t>
      </w:r>
    </w:p>
    <w:p w:rsidR="0072792A" w:rsidRDefault="00A83BC2" w:rsidP="00A83BC2">
      <w:r w:rsidRPr="00A83BC2">
        <w:t>Al Khwarizmi utilise un support graphique pour prouver les trois</w:t>
      </w:r>
      <w:r>
        <w:t xml:space="preserve"> </w:t>
      </w:r>
      <w:r w:rsidRPr="00A83BC2">
        <w:t>identités remarquables et s'en affranchit peu à peu au profit</w:t>
      </w:r>
      <w:r>
        <w:t xml:space="preserve"> </w:t>
      </w:r>
      <w:r w:rsidRPr="00A83BC2">
        <w:t>d'algorithmes algébriques déduit de ses observations.</w:t>
      </w:r>
    </w:p>
    <w:p w:rsidR="00A83BC2" w:rsidRDefault="00A83BC2" w:rsidP="00A83BC2">
      <w:pPr>
        <w:jc w:val="center"/>
      </w:pPr>
      <w:r>
        <w:rPr>
          <w:noProof/>
        </w:rPr>
        <w:drawing>
          <wp:inline distT="0" distB="0" distL="0" distR="0">
            <wp:extent cx="3965894" cy="144081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5" cy="144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A" w:rsidRPr="0072792A" w:rsidRDefault="00A83BC2">
      <w:pPr>
        <w:rPr>
          <w:rFonts w:eastAsiaTheme="minorEastAsia"/>
        </w:rPr>
      </w:pPr>
      <w:r w:rsidRPr="00A83BC2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-165100</wp:posOffset>
            </wp:positionV>
            <wp:extent cx="1980000" cy="1915200"/>
            <wp:effectExtent l="0" t="0" r="1270" b="8890"/>
            <wp:wrapThrough wrapText="bothSides">
              <wp:wrapPolygon edited="0">
                <wp:start x="0" y="0"/>
                <wp:lineTo x="0" y="21485"/>
                <wp:lineTo x="21406" y="21485"/>
                <wp:lineTo x="2140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92A" w:rsidRPr="00A83BC2">
        <w:rPr>
          <w:u w:val="single"/>
        </w:rPr>
        <w:t>Un exemple de résolution</w:t>
      </w:r>
      <w:r w:rsidR="0072792A">
        <w:t xml:space="preserve">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+10x=39</m:t>
        </m:r>
      </m:oMath>
    </w:p>
    <w:p w:rsidR="0072792A" w:rsidRPr="00A83BC2" w:rsidRDefault="00A83BC2" w:rsidP="00A83BC2">
      <w:pPr>
        <w:ind w:left="567" w:right="543"/>
        <w:rPr>
          <w:rFonts w:eastAsiaTheme="minorEastAsia"/>
          <w:i/>
          <w:iCs/>
        </w:rPr>
      </w:pPr>
      <w:r w:rsidRPr="00A83BC2">
        <w:rPr>
          <w:rFonts w:eastAsiaTheme="minorEastAsia"/>
        </w:rPr>
        <w:t xml:space="preserve">« </w:t>
      </w:r>
      <w:r w:rsidRPr="00A83BC2">
        <w:rPr>
          <w:rFonts w:eastAsiaTheme="minorEastAsia"/>
          <w:i/>
          <w:iCs/>
        </w:rPr>
        <w:t>Prends la moitié des racines, ici</w:t>
      </w:r>
      <w:r>
        <w:rPr>
          <w:rFonts w:eastAsiaTheme="minorEastAsia"/>
          <w:i/>
          <w:iCs/>
        </w:rPr>
        <w:t xml:space="preserve"> </w:t>
      </w:r>
      <w:r w:rsidRPr="00A83BC2">
        <w:rPr>
          <w:rFonts w:eastAsiaTheme="minorEastAsia"/>
          <w:i/>
          <w:iCs/>
        </w:rPr>
        <w:t xml:space="preserve">5. Tu la multiplies par </w:t>
      </w:r>
      <w:r>
        <w:rPr>
          <w:rFonts w:eastAsiaTheme="minorEastAsia"/>
          <w:i/>
          <w:iCs/>
        </w:rPr>
        <w:t xml:space="preserve">elle-même </w:t>
      </w:r>
      <w:r w:rsidRPr="00A83BC2">
        <w:rPr>
          <w:rFonts w:eastAsiaTheme="minorEastAsia"/>
          <w:i/>
          <w:iCs/>
        </w:rPr>
        <w:t>cela fera 25 ; additionne à 39, cela</w:t>
      </w:r>
      <w:r>
        <w:rPr>
          <w:rFonts w:eastAsiaTheme="minorEastAsia"/>
          <w:i/>
          <w:iCs/>
        </w:rPr>
        <w:t xml:space="preserve"> </w:t>
      </w:r>
      <w:r w:rsidRPr="00A83BC2">
        <w:rPr>
          <w:rFonts w:eastAsiaTheme="minorEastAsia"/>
          <w:i/>
          <w:iCs/>
        </w:rPr>
        <w:t>fera 64. Tu prends la racine qui est</w:t>
      </w:r>
      <w:r>
        <w:rPr>
          <w:rFonts w:eastAsiaTheme="minorEastAsia"/>
          <w:i/>
          <w:iCs/>
        </w:rPr>
        <w:t xml:space="preserve"> </w:t>
      </w:r>
      <w:r w:rsidRPr="00A83BC2">
        <w:rPr>
          <w:rFonts w:eastAsiaTheme="minorEastAsia"/>
          <w:i/>
          <w:iCs/>
        </w:rPr>
        <w:t>8 dont tu retranches la moitié des</w:t>
      </w:r>
      <w:r>
        <w:rPr>
          <w:rFonts w:eastAsiaTheme="minorEastAsia"/>
          <w:i/>
          <w:iCs/>
        </w:rPr>
        <w:t xml:space="preserve"> </w:t>
      </w:r>
      <w:r w:rsidRPr="00A83BC2">
        <w:rPr>
          <w:rFonts w:eastAsiaTheme="minorEastAsia"/>
          <w:i/>
          <w:iCs/>
        </w:rPr>
        <w:t>racines, 5. Il restera 3 et c'est la</w:t>
      </w:r>
      <w:r>
        <w:rPr>
          <w:rFonts w:eastAsiaTheme="minorEastAsia"/>
          <w:i/>
          <w:iCs/>
        </w:rPr>
        <w:t xml:space="preserve"> </w:t>
      </w:r>
      <w:r w:rsidRPr="00A83BC2">
        <w:rPr>
          <w:rFonts w:eastAsiaTheme="minorEastAsia"/>
          <w:i/>
          <w:iCs/>
        </w:rPr>
        <w:t>racine du carré que tu voulais. »</w:t>
      </w:r>
    </w:p>
    <w:p w:rsidR="0072792A" w:rsidRDefault="00A83BC2">
      <w:r>
        <w:t xml:space="preserve">Sa méthode conduit à : </w:t>
      </w:r>
    </w:p>
    <w:p w:rsidR="00A83BC2" w:rsidRPr="00A83BC2" w:rsidRDefault="00A83BC2">
      <w:pPr>
        <w:rPr>
          <w:rFonts w:eastAsiaTheme="minorEastAsia"/>
        </w:rPr>
      </w:pPr>
      <w:r>
        <w:tab/>
      </w:r>
      <w:r>
        <w:tab/>
      </w:r>
      <m:oMath>
        <m:r>
          <w:rPr>
            <w:rFonts w:ascii="Cambria Math" w:hAnsi="Cambria Math"/>
          </w:rPr>
          <m:t>10÷2=5</m:t>
        </m:r>
      </m:oMath>
    </w:p>
    <w:p w:rsidR="00A83BC2" w:rsidRPr="00A83BC2" w:rsidRDefault="00A83BC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</w:p>
    <w:p w:rsidR="00A83BC2" w:rsidRPr="00A83BC2" w:rsidRDefault="00A83BC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25+39=64</m:t>
        </m:r>
      </m:oMath>
    </w:p>
    <w:p w:rsidR="00A83BC2" w:rsidRDefault="00A83BC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</m:t>
            </m:r>
          </m:e>
        </m:rad>
        <m:r>
          <w:rPr>
            <w:rFonts w:ascii="Cambria Math" w:eastAsiaTheme="minorEastAsia" w:hAnsi="Cambria Math"/>
          </w:rPr>
          <m:t>=8</m:t>
        </m:r>
      </m:oMath>
    </w:p>
    <w:p w:rsidR="00A83BC2" w:rsidRPr="00A83BC2" w:rsidRDefault="00A83BC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8-5=3</m:t>
        </m:r>
      </m:oMath>
    </w:p>
    <w:p w:rsidR="00A83BC2" w:rsidRDefault="00A83BC2">
      <w:pPr>
        <w:rPr>
          <w:rFonts w:eastAsiaTheme="minorEastAsia"/>
        </w:rPr>
      </w:pPr>
      <w:r>
        <w:rPr>
          <w:rFonts w:eastAsiaTheme="minorEastAsia"/>
        </w:rPr>
        <w:t xml:space="preserve">La solution est 3. </w:t>
      </w:r>
    </w:p>
    <w:p w:rsidR="00A83BC2" w:rsidRDefault="00A83BC2">
      <w:pPr>
        <w:rPr>
          <w:rFonts w:eastAsiaTheme="minorEastAsia"/>
        </w:rPr>
      </w:pPr>
      <w:r>
        <w:rPr>
          <w:rFonts w:eastAsiaTheme="minorEastAsia"/>
        </w:rPr>
        <w:t>Il ne parle pas de la solution négative qui est – 13. Fibonacci fait la même résolution dans Liber abaci, lui non plus ne considère pas les solutions négatives.</w:t>
      </w:r>
    </w:p>
    <w:p w:rsidR="00A83BC2" w:rsidRPr="00A83BC2" w:rsidRDefault="00A83BC2">
      <w:pPr>
        <w:rPr>
          <w:rFonts w:eastAsiaTheme="minorEastAsia"/>
        </w:rPr>
      </w:pPr>
    </w:p>
    <w:p w:rsidR="009C6EA0" w:rsidRPr="009C6EA0" w:rsidRDefault="009C6EA0" w:rsidP="009C6EA0">
      <w:pPr>
        <w:rPr>
          <w:u w:val="single"/>
        </w:rPr>
      </w:pPr>
      <w:r w:rsidRPr="009C6EA0">
        <w:rPr>
          <w:u w:val="single"/>
        </w:rPr>
        <w:t>EXERCICE :</w:t>
      </w:r>
      <w:r>
        <w:rPr>
          <w:u w:val="single"/>
        </w:rPr>
        <w:t xml:space="preserve"> À la façon de Al-Khwarizmi</w:t>
      </w:r>
    </w:p>
    <w:p w:rsidR="009C6EA0" w:rsidRPr="009C6EA0" w:rsidRDefault="009C6EA0" w:rsidP="009C6EA0">
      <w:r>
        <w:t xml:space="preserve">1°) </w:t>
      </w:r>
      <w:r w:rsidRPr="009C6EA0">
        <w:t>Réaliser des schémas analogues pour trouver une solution de chacune des équations suivantes :</w:t>
      </w:r>
    </w:p>
    <w:p w:rsidR="009C6EA0" w:rsidRPr="009C6EA0" w:rsidRDefault="009C6EA0" w:rsidP="009C6EA0">
      <w:r w:rsidRPr="009C6EA0">
        <w:tab/>
      </w:r>
      <w:r w:rsidRPr="009C6EA0">
        <w:object w:dxaOrig="100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11pt" o:ole="">
            <v:imagedata r:id="rId12" o:title=""/>
          </v:shape>
          <o:OLEObject Type="Embed" ProgID="Equation.2" ShapeID="_x0000_i1025" DrawAspect="Content" ObjectID="_1644853715" r:id="rId13"/>
        </w:object>
      </w:r>
    </w:p>
    <w:p w:rsidR="009C6EA0" w:rsidRPr="009C6EA0" w:rsidRDefault="009C6EA0" w:rsidP="009C6EA0">
      <w:r w:rsidRPr="009C6EA0">
        <w:tab/>
      </w:r>
      <w:r w:rsidRPr="009C6EA0">
        <w:object w:dxaOrig="1335" w:dyaOrig="285">
          <v:shape id="_x0000_i1026" type="#_x0000_t75" style="width:66.5pt;height:14.5pt" o:ole="">
            <v:imagedata r:id="rId14" o:title=""/>
          </v:shape>
          <o:OLEObject Type="Embed" ProgID="Equation.2" ShapeID="_x0000_i1026" DrawAspect="Content" ObjectID="_1644853716" r:id="rId15"/>
        </w:object>
      </w:r>
    </w:p>
    <w:p w:rsidR="009C6EA0" w:rsidRPr="009C6EA0" w:rsidRDefault="009C6EA0" w:rsidP="009C6EA0">
      <w:r>
        <w:t>2°)</w:t>
      </w:r>
      <w:r w:rsidRPr="009C6EA0">
        <w:t xml:space="preserve"> Vérifier que :</w:t>
      </w:r>
    </w:p>
    <w:p w:rsidR="009C6EA0" w:rsidRPr="009C6EA0" w:rsidRDefault="009C6EA0" w:rsidP="009C6EA0">
      <w:r w:rsidRPr="009C6EA0">
        <w:tab/>
        <w:t xml:space="preserve">la première équation admet aussi </w:t>
      </w:r>
      <w:r w:rsidRPr="009C6EA0">
        <w:sym w:font="Symbol" w:char="F02D"/>
      </w:r>
      <w:r w:rsidRPr="009C6EA0">
        <w:t>13 pour solution.</w:t>
      </w:r>
    </w:p>
    <w:p w:rsidR="009C6EA0" w:rsidRPr="009C6EA0" w:rsidRDefault="009C6EA0" w:rsidP="009C6EA0">
      <w:r w:rsidRPr="009C6EA0">
        <w:tab/>
        <w:t xml:space="preserve">la seconde équation admet aussi </w:t>
      </w:r>
      <w:r w:rsidRPr="009C6EA0">
        <w:sym w:font="Symbol" w:char="F02D"/>
      </w:r>
      <w:r w:rsidRPr="009C6EA0">
        <w:t>11,5 pour solution.</w:t>
      </w:r>
    </w:p>
    <w:p w:rsidR="009C6EA0" w:rsidRPr="009C6EA0" w:rsidRDefault="009C6EA0" w:rsidP="009C6EA0">
      <w:r>
        <w:t xml:space="preserve">3°) </w:t>
      </w:r>
      <w:r w:rsidRPr="009C6EA0">
        <w:t>La méthode d’Al-Khwarismi permet-elle de déterminer toutes les solutions d’une équation de ce type ?</w:t>
      </w:r>
    </w:p>
    <w:p w:rsidR="00A83BC2" w:rsidRDefault="009C6EA0">
      <w:r>
        <w:t>4°) Exploiter la méthode d’Al-Kwharizmi pour résoudre les équations précédentes sans omettre l’une des solutions.</w:t>
      </w:r>
    </w:p>
    <w:p w:rsidR="00A83BC2" w:rsidRDefault="00A83BC2"/>
    <w:p w:rsidR="00A83BC2" w:rsidRDefault="00A83BC2"/>
    <w:p w:rsidR="00A83BC2" w:rsidRPr="00405786" w:rsidRDefault="00A83BC2"/>
    <w:sectPr w:rsidR="00A83BC2" w:rsidRPr="00405786" w:rsidSect="00885F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F37" w:rsidRDefault="006E0F37" w:rsidP="00405786">
      <w:r>
        <w:separator/>
      </w:r>
    </w:p>
  </w:endnote>
  <w:endnote w:type="continuationSeparator" w:id="0">
    <w:p w:rsidR="006E0F37" w:rsidRDefault="006E0F37" w:rsidP="0040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F37" w:rsidRDefault="006E0F37" w:rsidP="00405786">
      <w:r>
        <w:separator/>
      </w:r>
    </w:p>
  </w:footnote>
  <w:footnote w:type="continuationSeparator" w:id="0">
    <w:p w:rsidR="006E0F37" w:rsidRDefault="006E0F37" w:rsidP="0040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51A5"/>
    <w:multiLevelType w:val="hybridMultilevel"/>
    <w:tmpl w:val="DA14C4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4D"/>
    <w:rsid w:val="0002248E"/>
    <w:rsid w:val="000453D7"/>
    <w:rsid w:val="00097A69"/>
    <w:rsid w:val="00227B32"/>
    <w:rsid w:val="00350A2F"/>
    <w:rsid w:val="00405786"/>
    <w:rsid w:val="00457202"/>
    <w:rsid w:val="004F109A"/>
    <w:rsid w:val="006E0F37"/>
    <w:rsid w:val="0072792A"/>
    <w:rsid w:val="007A554D"/>
    <w:rsid w:val="007C4B3C"/>
    <w:rsid w:val="00885FFC"/>
    <w:rsid w:val="009C6EA0"/>
    <w:rsid w:val="00A83BC2"/>
    <w:rsid w:val="00AF7EFC"/>
    <w:rsid w:val="00B93A62"/>
    <w:rsid w:val="00C85CD2"/>
    <w:rsid w:val="00CE1731"/>
    <w:rsid w:val="00DD31F7"/>
    <w:rsid w:val="00DD4063"/>
    <w:rsid w:val="00E15503"/>
    <w:rsid w:val="00F1328D"/>
    <w:rsid w:val="00F1419B"/>
    <w:rsid w:val="00F2326B"/>
    <w:rsid w:val="00F4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1CAA"/>
  <w15:chartTrackingRefBased/>
  <w15:docId w15:val="{80B17F28-38CD-45E7-97B0-8FD6B468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5503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578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5786"/>
  </w:style>
  <w:style w:type="character" w:styleId="Appelnotedebasdep">
    <w:name w:val="footnote reference"/>
    <w:basedOn w:val="Policepardfaut"/>
    <w:semiHidden/>
    <w:unhideWhenUsed/>
    <w:rsid w:val="0040578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E17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173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920A-CDF2-4859-9512-D323EBB6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TEULIE</dc:creator>
  <cp:keywords/>
  <dc:description/>
  <cp:lastModifiedBy>Benoit Lafargue</cp:lastModifiedBy>
  <cp:revision>3</cp:revision>
  <dcterms:created xsi:type="dcterms:W3CDTF">2020-03-04T17:58:00Z</dcterms:created>
  <dcterms:modified xsi:type="dcterms:W3CDTF">2020-03-04T18:02:00Z</dcterms:modified>
</cp:coreProperties>
</file>