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/>
      </w:pPr>
      <w:r>
        <w:rPr/>
      </w:r>
    </w:p>
    <w:tbl>
      <w:tblPr>
        <w:tblStyle w:val="Grilledutableau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Séquence pédagogique proposée par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b/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Amalia Mendoza</w:t>
            </w:r>
          </w:p>
        </w:tc>
      </w:tr>
      <w:tr>
        <w:trPr/>
        <w:tc>
          <w:tcPr>
            <w:tcW w:w="35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Professeur(e) à 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b/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St Pierre d'Irube, collège Aturri</w:t>
            </w:r>
          </w:p>
        </w:tc>
      </w:tr>
      <w:tr>
        <w:trPr/>
        <w:tc>
          <w:tcPr>
            <w:tcW w:w="35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Public visé 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b/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3ème LV2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Notions au programme 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École et société, langages, rencontres avec d'autres cultures.</w:t>
            </w:r>
          </w:p>
        </w:tc>
      </w:tr>
      <w:tr>
        <w:trPr/>
        <w:tc>
          <w:tcPr>
            <w:tcW w:w="35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Niveau du CECRL visé 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A2</w:t>
            </w:r>
          </w:p>
        </w:tc>
      </w:tr>
      <w:tr>
        <w:trPr>
          <w:trHeight w:val="567" w:hRule="atLeast"/>
        </w:trPr>
        <w:tc>
          <w:tcPr>
            <w:tcW w:w="35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Domaines du socle commun (en collège)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1 : les langages pour penser et communiquer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2 : des méthodes et outils pour apprendre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5 : les représentations du monde et l'activité humaine</w:t>
            </w:r>
          </w:p>
        </w:tc>
      </w:tr>
      <w:tr>
        <w:trPr>
          <w:trHeight w:val="567" w:hRule="atLeast"/>
        </w:trPr>
        <w:tc>
          <w:tcPr>
            <w:tcW w:w="35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bookmarkStart w:id="0" w:name="_GoBack"/>
            <w:bookmarkEnd w:id="0"/>
            <w:r>
              <w:rPr/>
              <w:t>Thématique / Problématique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Le voyage et le respect de l'environnement.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/>
              <w:t>Supports utilisés / sources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▪ </w:t>
            </w:r>
            <w:r>
              <w:rPr/>
              <w:t xml:space="preserve">Manuel </w:t>
            </w:r>
            <w:r>
              <w:rPr>
                <w:i/>
                <w:iCs/>
              </w:rPr>
              <w:t>Anímate</w:t>
            </w:r>
            <w:r>
              <w:rPr/>
              <w:t>, 3ème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▪ </w:t>
            </w:r>
            <w:r>
              <w:rPr/>
              <w:t xml:space="preserve">Manuel </w:t>
            </w:r>
            <w:r>
              <w:rPr>
                <w:i/>
                <w:iCs/>
              </w:rPr>
              <w:t>Vamos All</w:t>
            </w:r>
            <w:r>
              <w:rPr/>
              <w:t>á, 3ème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▪ </w:t>
            </w:r>
            <w:r>
              <w:rPr/>
              <w:t xml:space="preserve">Manuel </w:t>
            </w:r>
            <w:r>
              <w:rPr>
                <w:i/>
                <w:iCs/>
              </w:rPr>
              <w:t>¡A mí me encanta!</w:t>
            </w:r>
            <w:r>
              <w:rPr/>
              <w:t xml:space="preserve">, 3ème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▪  </w:t>
            </w:r>
            <w:bookmarkStart w:id="1" w:name="__DdeLink__491_1609346504"/>
            <w:r>
              <w:rPr/>
              <w:t xml:space="preserve">Manuel </w:t>
            </w:r>
            <w:r>
              <w:rPr>
                <w:i/>
                <w:iCs/>
              </w:rPr>
              <w:t>Buena Onda</w:t>
            </w:r>
            <w:bookmarkEnd w:id="1"/>
            <w:r>
              <w:rPr/>
              <w:t>, 3ème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958"/>
      </w:tblGrid>
      <w:tr>
        <w:trPr/>
        <w:tc>
          <w:tcPr>
            <w:tcW w:w="1395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Tâche de fin séquence</w:t>
            </w:r>
          </w:p>
        </w:tc>
      </w:tr>
      <w:tr>
        <w:trPr/>
        <w:tc>
          <w:tcPr>
            <w:tcW w:w="139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Créer une affiche sur le tourisme et le développement durable : comment profiter de ton prochain voyage tout en respectant l'environnement ?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91"/>
        <w:gridCol w:w="2792"/>
        <w:gridCol w:w="2791"/>
        <w:gridCol w:w="2792"/>
        <w:gridCol w:w="2792"/>
      </w:tblGrid>
      <w:tr>
        <w:trPr/>
        <w:tc>
          <w:tcPr>
            <w:tcW w:w="13958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b/>
              </w:rPr>
              <w:t>Éléments de mise en œuvre / déroulé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b/>
              </w:rPr>
              <w:t>Étape de la séquence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b/>
              </w:rPr>
              <w:t>Objectifs (culturels, pragmatiques, lexicaux, grammaticaux)</w:t>
            </w:r>
          </w:p>
        </w:tc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b/>
              </w:rPr>
              <w:t>Support(s)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b/>
              </w:rPr>
              <w:t>Activité langagière (ACL)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b/>
              </w:rPr>
              <w:t xml:space="preserve">Mise en œuvre 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1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>L'heure</w:t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La comparaison 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más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menos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 w:val="false"/>
                <w:iCs w:val="false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i w:val="false"/>
                <w:iCs w:val="false"/>
                <w:sz w:val="20"/>
                <w:szCs w:val="20"/>
              </w:rPr>
              <w:t>Me parece mejor… / peor...</w:t>
            </w:r>
          </w:p>
        </w:tc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Manuel </w:t>
            </w:r>
            <w:r>
              <w:rPr>
                <w:i/>
                <w:iCs/>
              </w:rPr>
              <w:t>Anímate</w:t>
            </w:r>
            <w:r>
              <w:rPr/>
              <w:t>, 3ème page 60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Réagir et dialoguer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</w:tcPr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 w:val="false"/>
                <w:iCs w:val="false"/>
                <w:sz w:val="20"/>
                <w:szCs w:val="20"/>
              </w:rPr>
              <w:t xml:space="preserve">- Identifier les différents horaires de train et la monnaie nationale du Pérou.  </w:t>
            </w:r>
          </w:p>
          <w:p>
            <w:pPr>
              <w:pStyle w:val="Contenudetableau"/>
              <w:spacing w:before="0" w:after="16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 w:val="false"/>
                <w:iCs w:val="false"/>
                <w:sz w:val="20"/>
                <w:szCs w:val="20"/>
              </w:rPr>
              <w:t xml:space="preserve">- Donner son avis. 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Séance 2 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Le lexique des vêtements et de la nourriture </w:t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>Le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false"/>
                <w:iCs w:val="false"/>
                <w:sz w:val="20"/>
                <w:szCs w:val="20"/>
              </w:rPr>
              <w:t>subjonctif présent de verbes réguliers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La comparaison avec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mientras que</w:t>
            </w:r>
          </w:p>
        </w:tc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Manuel </w:t>
            </w:r>
            <w:r>
              <w:rPr>
                <w:i/>
                <w:iCs/>
              </w:rPr>
              <w:t>Anímate</w:t>
            </w:r>
            <w:r>
              <w:rPr/>
              <w:t>, 3ème page 60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Écouter et comprendre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Réagir et dialoguer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</w:tcPr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Repérer des conseils, des indications données pour réussir son excursion.  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3 et 4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L'hypothèse, la possibilité avec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puede que, quizá, es probable que, es posible que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Le lexique du voyage : logement, bagages, visites, activités… 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Le subjonctif présent avec des verbes irréguliers 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ir, ser, hacer, tener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Manuel </w:t>
            </w:r>
            <w:r>
              <w:rPr>
                <w:i/>
                <w:iCs/>
              </w:rPr>
              <w:t>Anímate</w:t>
            </w:r>
            <w:r>
              <w:rPr/>
              <w:t>, 3ème page 61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Lire et comprendre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Réagir et dialoguer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</w:tcPr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Décrire quel type de touriste tu es. 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Émettre des hypothèses sur ton attitude en temps que touriste. </w:t>
            </w:r>
          </w:p>
        </w:tc>
      </w:tr>
      <w:tr>
        <w:trPr/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Séances 5 et 6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Le passé simple des verbes réguliers et irréguliers. </w:t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Le lexique </w:t>
            </w:r>
            <w:r>
              <w:rPr>
                <w:rFonts w:ascii="Calibri" w:hAnsi="Calibri"/>
                <w:sz w:val="20"/>
                <w:szCs w:val="20"/>
              </w:rPr>
              <w:t xml:space="preserve">du voyage. 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Les prépositions de lieu 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salir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de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, ir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, pasar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por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, estar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en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, volver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79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Manuel </w:t>
            </w:r>
            <w:r>
              <w:rPr>
                <w:i/>
                <w:iCs/>
              </w:rPr>
              <w:t>Vamos Allá</w:t>
            </w:r>
            <w:r>
              <w:rPr/>
              <w:t>, 3ème page 33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Réagir et dialoguer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Parler en continu</w:t>
            </w:r>
          </w:p>
        </w:tc>
        <w:tc>
          <w:tcPr>
            <w:tcW w:w="2792" w:type="dxa"/>
            <w:tcBorders/>
            <w:shd w:fill="auto" w:val="clear"/>
            <w:tcMar>
              <w:left w:w="103" w:type="dxa"/>
            </w:tcMar>
          </w:tcPr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Identifier certains aspects de la culture mexicaine. 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Raconter et échanger à propos d'un voyage. </w:t>
            </w:r>
          </w:p>
        </w:tc>
      </w:tr>
      <w:tr>
        <w:trPr/>
        <w:tc>
          <w:tcPr>
            <w:tcW w:w="2791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Séances 7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Les indéfinis : much/a(s), poco/a(s), demasiado/a(s), bastante(s), nada, nadie. 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 xml:space="preserve">Les emplois de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ser</w:t>
            </w:r>
            <w:r>
              <w:rPr>
                <w:rFonts w:ascii="Calibri" w:hAnsi="Calibri"/>
                <w:sz w:val="20"/>
                <w:szCs w:val="20"/>
              </w:rPr>
              <w:t xml:space="preserve"> et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estar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791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Manuel </w:t>
            </w:r>
            <w:r>
              <w:rPr>
                <w:i/>
                <w:iCs/>
              </w:rPr>
              <w:t>¡A mí me encanta!</w:t>
            </w:r>
            <w:r>
              <w:rPr/>
              <w:t xml:space="preserve"> 3ème page 18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Lire et comprendre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Réagir et dialoguer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P</w:t>
            </w:r>
            <w:r>
              <w:rPr>
                <w:rFonts w:ascii="Calibri" w:hAnsi="Calibri"/>
                <w:sz w:val="20"/>
                <w:szCs w:val="20"/>
              </w:rPr>
              <w:t xml:space="preserve">arler de son expérience en Espagne ou dans un pays étranger et de la vision qu'on a sur l'Espagne et les Espagnols. </w:t>
            </w:r>
          </w:p>
        </w:tc>
      </w:tr>
      <w:tr>
        <w:trPr/>
        <w:tc>
          <w:tcPr>
            <w:tcW w:w="2791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Séance 8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>Le futur</w:t>
            </w:r>
          </w:p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>Le lexique de l'environnement</w:t>
            </w:r>
          </w:p>
        </w:tc>
        <w:tc>
          <w:tcPr>
            <w:tcW w:w="2791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 xml:space="preserve">Manuel </w:t>
            </w:r>
            <w:r>
              <w:rPr>
                <w:i/>
                <w:iCs/>
              </w:rPr>
              <w:t>Buena Onda</w:t>
            </w:r>
            <w:r>
              <w:rPr/>
              <w:t>, 3ème page 15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Réagir et dialoguer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Écrire</w:t>
            </w:r>
          </w:p>
        </w:tc>
        <w:tc>
          <w:tcPr>
            <w:tcW w:w="279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Contenudetableau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Comprendre </w:t>
            </w:r>
            <w:r>
              <w:rPr>
                <w:rFonts w:ascii="Calibri" w:hAnsi="Calibri"/>
                <w:sz w:val="20"/>
                <w:szCs w:val="20"/>
              </w:rPr>
              <w:t xml:space="preserve">et parler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'</w:t>
            </w:r>
            <w:r>
              <w:rPr>
                <w:rFonts w:ascii="Calibri" w:hAnsi="Calibri"/>
                <w:sz w:val="20"/>
                <w:szCs w:val="20"/>
              </w:rPr>
              <w:t xml:space="preserve">actions pour l'environnement.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42"/>
        <w:gridCol w:w="10415"/>
      </w:tblGrid>
      <w:tr>
        <w:trPr/>
        <w:tc>
          <w:tcPr>
            <w:tcW w:w="35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/>
              <w:t>Évaluations prévues / tâches intermédiaires / prolongements éventuels</w:t>
            </w:r>
          </w:p>
        </w:tc>
        <w:tc>
          <w:tcPr>
            <w:tcW w:w="10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b/>
                <w:bCs/>
              </w:rPr>
              <w:t>Lire et comprendre :</w:t>
            </w:r>
            <w:r>
              <w:rPr/>
              <w:t xml:space="preserve"> Je peux comprendre l'évocation de voyage effectués, de pays visités (Texte de </w:t>
            </w:r>
            <w:r>
              <w:rPr>
                <w:i/>
                <w:iCs/>
              </w:rPr>
              <w:t>Juntos</w:t>
            </w:r>
            <w:r>
              <w:rPr/>
              <w:t xml:space="preserve"> 3ème LV2, page 122).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b/>
                <w:bCs/>
              </w:rPr>
              <w:t>Écrire :</w:t>
            </w:r>
            <w:r>
              <w:rPr/>
              <w:t xml:space="preserve"> Je peux expliquer les préparatifs d'un voyage et donner des conseils pour être un touriste responsable.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b/>
                <w:bCs/>
              </w:rPr>
              <w:t>Écouter et comprendre :</w:t>
            </w:r>
            <w:r>
              <w:rPr/>
              <w:t xml:space="preserve"> Je peux comprendre les motivations pour un voyage et ses préparatifs (audio de </w:t>
            </w:r>
            <w:r>
              <w:rPr>
                <w:i/>
                <w:iCs/>
              </w:rPr>
              <w:t>Juntos</w:t>
            </w:r>
            <w:r>
              <w:rPr/>
              <w:t xml:space="preserve"> 3ème LV2, page 122).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b/>
                <w:bCs/>
              </w:rPr>
              <w:t>Parler en continu :</w:t>
            </w:r>
            <w:r>
              <w:rPr/>
              <w:t xml:space="preserve">  Je peux dire quelles actions je ferai pour être un touriste ou voyageur responsable.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before="0" w:after="160"/>
        <w:contextualSpacing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40" w:right="1440" w:header="708" w:top="851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8096250</wp:posOffset>
          </wp:positionH>
          <wp:positionV relativeFrom="paragraph">
            <wp:posOffset>-325755</wp:posOffset>
          </wp:positionV>
          <wp:extent cx="1278890" cy="685800"/>
          <wp:effectExtent l="0" t="0" r="0" b="0"/>
          <wp:wrapTopAndBottom/>
          <wp:docPr id="1" name="Picture 2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fr-F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f718b"/>
    <w:pPr>
      <w:widowControl/>
      <w:suppressAutoHyphens w:val="true"/>
      <w:bidi w:val="0"/>
      <w:spacing w:lineRule="auto" w:line="259" w:before="0" w:after="160"/>
      <w:contextualSpacing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a2a3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a2a3a"/>
    <w:rPr/>
  </w:style>
  <w:style w:type="paragraph" w:styleId="Titre">
    <w:name w:val="Titre"/>
    <w:basedOn w:val="Normal"/>
    <w:next w:val="Corpsdetexte"/>
    <w:qFormat/>
    <w:pPr>
      <w:keepNext/>
      <w:spacing w:before="240" w:after="120"/>
      <w:contextualSpacing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  <w:contextualSpacing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  <w:contextualSpacing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En-tête"/>
    <w:basedOn w:val="Normal"/>
    <w:link w:val="En-tteCar"/>
    <w:uiPriority w:val="99"/>
    <w:unhideWhenUsed/>
    <w:rsid w:val="00fa2a3a"/>
    <w:pPr>
      <w:tabs>
        <w:tab w:val="center" w:pos="4536" w:leader="none"/>
        <w:tab w:val="right" w:pos="9072" w:leader="none"/>
      </w:tabs>
      <w:spacing w:lineRule="auto" w:line="240" w:before="0" w:after="0"/>
      <w:contextualSpacing/>
    </w:pPr>
    <w:rPr/>
  </w:style>
  <w:style w:type="paragraph" w:styleId="Pieddepage">
    <w:name w:val="Pied de page"/>
    <w:basedOn w:val="Normal"/>
    <w:link w:val="PieddepageCar"/>
    <w:uiPriority w:val="99"/>
    <w:unhideWhenUsed/>
    <w:rsid w:val="00fa2a3a"/>
    <w:pPr>
      <w:tabs>
        <w:tab w:val="center" w:pos="4536" w:leader="none"/>
        <w:tab w:val="right" w:pos="9072" w:leader="none"/>
      </w:tabs>
      <w:spacing w:lineRule="auto" w:line="240" w:before="0" w:after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500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Application>LibreOffice/4.4.0.3$Windows_x86 LibreOffice_project/de093506bcdc5fafd9023ee680b8c60e3e0645d7</Application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2018-05-13T15:55:00Z</dcterms:created>
  <dc:creator>Nicolas GODBERT</dc:creator>
  <dc:language>fr-FR</dc:language>
  <dcterms:modified xsi:type="dcterms:W3CDTF">2020-04-12T16:02:40Z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